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EACB" w14:textId="188A74E9" w:rsidR="008B26B3" w:rsidRDefault="0091524F" w:rsidP="0091524F">
      <w:pPr>
        <w:jc w:val="center"/>
        <w:rPr>
          <w:b/>
          <w:bCs w:val="0"/>
        </w:rPr>
      </w:pPr>
      <w:r>
        <w:rPr>
          <w:b/>
          <w:bCs w:val="0"/>
        </w:rPr>
        <w:t>PROPOSED RE-DEVELOPMENT OF THE BEEHIVE CENTRE</w:t>
      </w:r>
    </w:p>
    <w:p w14:paraId="1949E179" w14:textId="13E990C1" w:rsidR="0091524F" w:rsidRDefault="0091524F" w:rsidP="0091524F">
      <w:pPr>
        <w:jc w:val="center"/>
        <w:rPr>
          <w:b/>
          <w:bCs w:val="0"/>
        </w:rPr>
      </w:pPr>
      <w:r>
        <w:rPr>
          <w:b/>
          <w:bCs w:val="0"/>
        </w:rPr>
        <w:t>DAYLIGHT/SUNLIGHT ISSUES</w:t>
      </w:r>
    </w:p>
    <w:p w14:paraId="28FE607C" w14:textId="77777777" w:rsidR="0091524F" w:rsidRDefault="0091524F" w:rsidP="0091524F">
      <w:pPr>
        <w:jc w:val="center"/>
        <w:rPr>
          <w:b/>
          <w:bCs w:val="0"/>
        </w:rPr>
      </w:pPr>
    </w:p>
    <w:p w14:paraId="031F1AE6" w14:textId="77777777" w:rsidR="0091524F" w:rsidRDefault="0091524F" w:rsidP="0091524F">
      <w:pPr>
        <w:jc w:val="center"/>
        <w:rPr>
          <w:b/>
          <w:bCs w:val="0"/>
        </w:rPr>
      </w:pPr>
    </w:p>
    <w:p w14:paraId="3B5F3076" w14:textId="1A02017D" w:rsidR="0091524F" w:rsidRDefault="0091524F" w:rsidP="0091524F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>ADVICE NOTE</w:t>
      </w:r>
    </w:p>
    <w:p w14:paraId="46AAA4B6" w14:textId="77777777" w:rsidR="0091524F" w:rsidRDefault="0091524F" w:rsidP="0091524F">
      <w:pPr>
        <w:rPr>
          <w:b/>
          <w:bCs w:val="0"/>
          <w:u w:val="single"/>
        </w:rPr>
      </w:pPr>
    </w:p>
    <w:p w14:paraId="426A58C9" w14:textId="77777777" w:rsidR="0091524F" w:rsidRDefault="0091524F" w:rsidP="0091524F">
      <w:pPr>
        <w:rPr>
          <w:b/>
          <w:bCs w:val="0"/>
          <w:u w:val="single"/>
        </w:rPr>
      </w:pPr>
    </w:p>
    <w:p w14:paraId="2AEB9B47" w14:textId="77777777" w:rsidR="0091524F" w:rsidRDefault="0091524F" w:rsidP="0091524F">
      <w:pPr>
        <w:rPr>
          <w:b/>
          <w:bCs w:val="0"/>
          <w:u w:val="single"/>
        </w:rPr>
      </w:pPr>
    </w:p>
    <w:p w14:paraId="48980B74" w14:textId="3CA7F031" w:rsidR="0091524F" w:rsidRDefault="00771F48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This Note addresses </w:t>
      </w:r>
      <w:r w:rsidR="009A29D7">
        <w:t xml:space="preserve">certain </w:t>
      </w:r>
      <w:r w:rsidR="00FF288D">
        <w:t xml:space="preserve">points made about the possible daylight/sunlight effects of the proposed re-development of the Beehive Centre, </w:t>
      </w:r>
      <w:proofErr w:type="spellStart"/>
      <w:r w:rsidR="00FF288D">
        <w:t>Coldhams</w:t>
      </w:r>
      <w:proofErr w:type="spellEnd"/>
      <w:r w:rsidR="00FF288D">
        <w:t xml:space="preserve"> Lane, Cambridge</w:t>
      </w:r>
      <w:r w:rsidR="00E807CC">
        <w:t xml:space="preserve"> (“the Site”)</w:t>
      </w:r>
      <w:r w:rsidR="00A76460">
        <w:t xml:space="preserve">, pursuant to application reference 23/03204/OUT (“the Application”). </w:t>
      </w:r>
    </w:p>
    <w:p w14:paraId="3202E43A" w14:textId="1D47916A" w:rsidR="00A76460" w:rsidRDefault="00A76460" w:rsidP="00A76460">
      <w:pPr>
        <w:pStyle w:val="ListParagraph"/>
        <w:spacing w:line="360" w:lineRule="auto"/>
        <w:jc w:val="both"/>
      </w:pPr>
    </w:p>
    <w:p w14:paraId="1D6AA721" w14:textId="2989B037" w:rsidR="00A76460" w:rsidRDefault="00A76460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Application is in outline form and </w:t>
      </w:r>
      <w:r w:rsidR="00E807CC">
        <w:t xml:space="preserve">proposes the re-development of the Site to provide </w:t>
      </w:r>
      <w:r w:rsidR="006A7886">
        <w:t xml:space="preserve">a new local centre, </w:t>
      </w:r>
      <w:r w:rsidR="00E807CC">
        <w:t xml:space="preserve">labs, offices, car parking, some commercial </w:t>
      </w:r>
      <w:r w:rsidR="009B1592">
        <w:t xml:space="preserve">uses </w:t>
      </w:r>
      <w:r w:rsidR="00E807CC">
        <w:t>and public space</w:t>
      </w:r>
      <w:r w:rsidR="004147C1">
        <w:t xml:space="preserve"> (“the Scheme”)</w:t>
      </w:r>
      <w:r w:rsidR="00E807CC">
        <w:t>.</w:t>
      </w:r>
      <w:r w:rsidR="00DD6860">
        <w:t xml:space="preserve"> It is due to be considered by the relevant committee of Cambridge City Council (“the Council”) on Wednesday 12 February 2025. The </w:t>
      </w:r>
      <w:r w:rsidR="004147C1">
        <w:t>Scheme</w:t>
      </w:r>
      <w:r w:rsidR="00DD6860">
        <w:t xml:space="preserve"> has been reported to the Council by </w:t>
      </w:r>
      <w:r w:rsidR="004147C1">
        <w:t xml:space="preserve">the case officer with a recommendation for refusal, </w:t>
      </w:r>
      <w:proofErr w:type="gramStart"/>
      <w:r w:rsidR="004147C1">
        <w:t>on the basis of</w:t>
      </w:r>
      <w:proofErr w:type="gramEnd"/>
      <w:r w:rsidR="004147C1">
        <w:t xml:space="preserve"> objections relating to the daylight, sunlight and ‘enclosure’ effects.</w:t>
      </w:r>
    </w:p>
    <w:p w14:paraId="45A1B961" w14:textId="77777777" w:rsidR="004147C1" w:rsidRDefault="004147C1" w:rsidP="004147C1">
      <w:pPr>
        <w:pStyle w:val="ListParagraph"/>
      </w:pPr>
    </w:p>
    <w:p w14:paraId="053B0E56" w14:textId="13240A6B" w:rsidR="004147C1" w:rsidRDefault="004147C1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 have seen </w:t>
      </w:r>
      <w:r w:rsidR="003E5625">
        <w:t xml:space="preserve">the relevant daylight, sunlight and planning/design assessments presented as part of the Application, and the daylight/sunlight assessment prepared by Schroeders Begg on behalf of the Council. </w:t>
      </w:r>
    </w:p>
    <w:p w14:paraId="355BB198" w14:textId="77777777" w:rsidR="003E5625" w:rsidRDefault="003E5625" w:rsidP="003E5625">
      <w:pPr>
        <w:pStyle w:val="ListParagraph"/>
      </w:pPr>
    </w:p>
    <w:p w14:paraId="550B80DE" w14:textId="79E14EC8" w:rsidR="003E5625" w:rsidRDefault="003E5625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 have also seen </w:t>
      </w:r>
      <w:r w:rsidR="00967A4C">
        <w:t>a letter from Toby Williams, the case officer for the Application, dated 31 January 2025</w:t>
      </w:r>
      <w:r w:rsidR="00873304">
        <w:t>. This Note focuses on the contents of that letter</w:t>
      </w:r>
      <w:r w:rsidR="009B1592">
        <w:t>,</w:t>
      </w:r>
      <w:r w:rsidR="00873304">
        <w:t xml:space="preserve"> as well as commenting on the technical work submitted; I have also seen and agree with the contents of a note from Mr Jonathan Lonergan of ed</w:t>
      </w:r>
      <w:r w:rsidR="003218BA">
        <w:t xml:space="preserve">7 (daylight/sunlight experts), commenting on </w:t>
      </w:r>
      <w:r w:rsidR="006A7886">
        <w:t xml:space="preserve">the </w:t>
      </w:r>
      <w:r w:rsidR="003218BA">
        <w:t>report to committee in this regard.</w:t>
      </w:r>
    </w:p>
    <w:p w14:paraId="052825EA" w14:textId="77777777" w:rsidR="003218BA" w:rsidRDefault="003218BA" w:rsidP="003218BA">
      <w:pPr>
        <w:pStyle w:val="ListParagraph"/>
      </w:pPr>
    </w:p>
    <w:p w14:paraId="6D418214" w14:textId="6E2A3F42" w:rsidR="003218BA" w:rsidRDefault="007B7DE6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Scheme is in outline and is accompanied by Parameter Plans, which are intended to be conditioned into the grant of planning permission. There is also an Illustrative Scheme, which </w:t>
      </w:r>
      <w:r w:rsidR="0023721D">
        <w:t xml:space="preserve">gives an illustration of the way that the Parameter Plans might look and enables certain judgements to be made. </w:t>
      </w:r>
      <w:proofErr w:type="gramStart"/>
      <w:r w:rsidR="0023721D">
        <w:t>It is clear that the</w:t>
      </w:r>
      <w:proofErr w:type="gramEnd"/>
      <w:r w:rsidR="0023721D">
        <w:t xml:space="preserve"> Illustrative Scheme itself would not form part of the planning permission.</w:t>
      </w:r>
    </w:p>
    <w:p w14:paraId="52EBD3E9" w14:textId="77777777" w:rsidR="0023721D" w:rsidRDefault="0023721D" w:rsidP="0023721D">
      <w:pPr>
        <w:pStyle w:val="ListParagraph"/>
      </w:pPr>
    </w:p>
    <w:p w14:paraId="0502AE78" w14:textId="74B30A5A" w:rsidR="0023721D" w:rsidRDefault="0023721D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However, the Illustrative Scheme has been </w:t>
      </w:r>
      <w:r w:rsidR="00B5333B">
        <w:t xml:space="preserve">created consistent with the Parameter Plans </w:t>
      </w:r>
      <w:r w:rsidR="003D1ABC">
        <w:t xml:space="preserve">and its effects are verifiable through the CAD modelling system – illustrative </w:t>
      </w:r>
      <w:r w:rsidR="00D078F4">
        <w:t xml:space="preserve">images can be made of </w:t>
      </w:r>
      <w:r w:rsidR="00D078F4">
        <w:lastRenderedPageBreak/>
        <w:t xml:space="preserve">it, to put flesh on the bones of the Parameter Plans, and precise measurements can be taken from it to enable a study of </w:t>
      </w:r>
      <w:r w:rsidR="005515C8">
        <w:t xml:space="preserve">its effects on access to the daylight and sunlight enjoyed by neighbours. </w:t>
      </w:r>
      <w:r w:rsidR="00E1251C">
        <w:t xml:space="preserve">In other words, although the Illustrative Scheme lacks formal status as part of the Application, it is an important and </w:t>
      </w:r>
      <w:proofErr w:type="gramStart"/>
      <w:r w:rsidR="00E1251C">
        <w:t>objectively-measurable</w:t>
      </w:r>
      <w:proofErr w:type="gramEnd"/>
      <w:r w:rsidR="00E1251C">
        <w:t xml:space="preserve"> aspect of the evidence submitted with the Application. </w:t>
      </w:r>
    </w:p>
    <w:p w14:paraId="0D9EDD7A" w14:textId="77777777" w:rsidR="00E1251C" w:rsidRDefault="00E1251C" w:rsidP="00E1251C">
      <w:pPr>
        <w:pStyle w:val="ListParagraph"/>
      </w:pPr>
    </w:p>
    <w:p w14:paraId="268D1657" w14:textId="6A61FDB7" w:rsidR="00E1251C" w:rsidRDefault="00934491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Turning to the work submitted on daylight/sunlight, I note that the primary exercise undertaken by Mr Lonergan has been to assess the effects of the Parameter Plan ‘boxes’ </w:t>
      </w:r>
      <w:r w:rsidR="008512CF">
        <w:t>on neighbours. That is in line with best practice</w:t>
      </w:r>
      <w:r w:rsidR="0068422B">
        <w:t xml:space="preserve"> as a starting point</w:t>
      </w:r>
      <w:r w:rsidR="008512CF">
        <w:t xml:space="preserve">. As I say above, I entirely agree with Mr Lonergan’s views about the correct approach to the assessment of the results of that exercise, looking first at the BRE guidance, then reaching a judgement about acceptability. That second-stage judgement must, in my opinion, </w:t>
      </w:r>
      <w:r w:rsidR="0012415A">
        <w:t xml:space="preserve">examine </w:t>
      </w:r>
      <w:r w:rsidR="008512CF">
        <w:t xml:space="preserve">the nature of the Site as it exists today, and the planning status for </w:t>
      </w:r>
      <w:r w:rsidR="0012415A">
        <w:t xml:space="preserve">its </w:t>
      </w:r>
      <w:r w:rsidR="008512CF">
        <w:t xml:space="preserve">re-development. The context for making the best use of scarce urban PDL is </w:t>
      </w:r>
      <w:r w:rsidR="00926086">
        <w:t>that one should be flexible about the use of guidance like the BRE</w:t>
      </w:r>
      <w:r w:rsidR="007F5A64">
        <w:t xml:space="preserve"> </w:t>
      </w:r>
      <w:r w:rsidR="00926086">
        <w:t xml:space="preserve">and </w:t>
      </w:r>
      <w:proofErr w:type="gramStart"/>
      <w:r w:rsidR="00926086">
        <w:t>give careful consideration to</w:t>
      </w:r>
      <w:proofErr w:type="gramEnd"/>
      <w:r w:rsidR="00926086">
        <w:t xml:space="preserve"> whether alternative targets </w:t>
      </w:r>
      <w:r w:rsidR="007C58BD">
        <w:t xml:space="preserve">should be adopted to guide the judgement. In a case like this, it would plainly be inappropriate to </w:t>
      </w:r>
      <w:r w:rsidR="007F5A64">
        <w:t xml:space="preserve">adopt the basic BRE numerical guidelines, as Mr Lonergan says. </w:t>
      </w:r>
    </w:p>
    <w:p w14:paraId="222D4B5F" w14:textId="77777777" w:rsidR="007F5A64" w:rsidRDefault="007F5A64" w:rsidP="007F5A64">
      <w:pPr>
        <w:pStyle w:val="ListParagraph"/>
      </w:pPr>
    </w:p>
    <w:p w14:paraId="0D44C459" w14:textId="42373418" w:rsidR="007F5A64" w:rsidRDefault="007F5A64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Bearing those points in mind, the </w:t>
      </w:r>
      <w:r w:rsidR="00E67DBB">
        <w:t xml:space="preserve">correct analysis of the </w:t>
      </w:r>
      <w:r w:rsidR="007317D6">
        <w:t xml:space="preserve">effects of the </w:t>
      </w:r>
      <w:r w:rsidR="004940C0">
        <w:t>Scheme</w:t>
      </w:r>
      <w:r w:rsidR="00E67DBB">
        <w:t xml:space="preserve"> (seen in terms of its Parameter Plans) </w:t>
      </w:r>
      <w:r w:rsidR="004940C0">
        <w:t xml:space="preserve">on the daylight/sunlight of neighbouring occupiers seems </w:t>
      </w:r>
      <w:r w:rsidR="00E67DBB">
        <w:t xml:space="preserve">to be some way from the assessment carried out in the </w:t>
      </w:r>
      <w:r w:rsidR="00BF440A">
        <w:t xml:space="preserve">Report to Committee. Mr Lonergan says more about that in his note. </w:t>
      </w:r>
    </w:p>
    <w:p w14:paraId="31AD155E" w14:textId="77777777" w:rsidR="00BF440A" w:rsidRDefault="00BF440A" w:rsidP="00BF440A">
      <w:pPr>
        <w:pStyle w:val="ListParagraph"/>
      </w:pPr>
    </w:p>
    <w:p w14:paraId="07A074CA" w14:textId="638D399D" w:rsidR="00BF440A" w:rsidRDefault="00BF440A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However, if the Council wished to </w:t>
      </w:r>
      <w:r w:rsidR="007B04B0">
        <w:t xml:space="preserve">limit the Scheme’s daylight/sunlight effects yet further, it would be possible to bind the detailed </w:t>
      </w:r>
      <w:r w:rsidR="003D5260">
        <w:t xml:space="preserve">scheme (which would follow the grant of outline planning permission) by reference to </w:t>
      </w:r>
      <w:r w:rsidR="007F6311">
        <w:t>the effects of the Illustrative Scheme</w:t>
      </w:r>
      <w:r w:rsidR="009A7688">
        <w:t>, through the imposition of a planning condition like the one submitted to the Council</w:t>
      </w:r>
      <w:r w:rsidR="007F6311">
        <w:t xml:space="preserve">. I have seen the comments on this topic by Mr Williams in the 31 January 2025 letter and I </w:t>
      </w:r>
      <w:r w:rsidR="00FD2D93">
        <w:t>disagree with them, for the following reasons.</w:t>
      </w:r>
    </w:p>
    <w:p w14:paraId="61EA072A" w14:textId="77777777" w:rsidR="00FD2D93" w:rsidRDefault="00FD2D93" w:rsidP="00FD2D93">
      <w:pPr>
        <w:pStyle w:val="ListParagraph"/>
      </w:pPr>
    </w:p>
    <w:p w14:paraId="5910506B" w14:textId="5AAAE3BC" w:rsidR="00FD2D93" w:rsidRDefault="00FD2D93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First, </w:t>
      </w:r>
      <w:r w:rsidR="00967B0A">
        <w:t xml:space="preserve">tying the detailed scheme to the results of the Illustrative Scheme by condition would neither </w:t>
      </w:r>
      <w:r w:rsidR="00B36495">
        <w:t xml:space="preserve">‘elevate the status’ of the latter, </w:t>
      </w:r>
      <w:r w:rsidR="008E5CB8">
        <w:t>n</w:t>
      </w:r>
      <w:r w:rsidR="00B36495">
        <w:t>or risk any confusion with the Scheme. The Illustrative Scheme remains just that, but given that is has been accurately modelled, the daylight/sunlight results can plainly be used (if the decision-maker wished) to set a benchmark minimum standard for daylight and sunlight.</w:t>
      </w:r>
      <w:r w:rsidR="00977157">
        <w:t xml:space="preserve"> There would clearly be no ‘confusion’ because the detailed scheme, like the Illustrative Scheme, is a version of, and consistent with, the Scheme (as </w:t>
      </w:r>
      <w:r w:rsidR="001B422C">
        <w:t>defined by the description and the Parameter Plans). There is no legal problem with that approach at all.</w:t>
      </w:r>
    </w:p>
    <w:p w14:paraId="57BA8769" w14:textId="77777777" w:rsidR="001B422C" w:rsidRDefault="001B422C" w:rsidP="001B422C">
      <w:pPr>
        <w:pStyle w:val="ListParagraph"/>
      </w:pPr>
    </w:p>
    <w:p w14:paraId="0036F751" w14:textId="4B461FA9" w:rsidR="001B422C" w:rsidRDefault="001B422C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 xml:space="preserve">Second, </w:t>
      </w:r>
      <w:r w:rsidR="00537F72">
        <w:t xml:space="preserve">the Illustrative Scheme </w:t>
      </w:r>
      <w:r w:rsidR="00D8018B">
        <w:t>results are all set out, window by window, in the eb7 report</w:t>
      </w:r>
      <w:r w:rsidR="00483846">
        <w:t xml:space="preserve">. The draft condition proposed to the Council makes it clear that the benchmark to be applied is the </w:t>
      </w:r>
      <w:r w:rsidR="00DB7F9D">
        <w:t xml:space="preserve">set of effects which relate to that Illustrative Scheme. In respect of each window, any detailed scheme could be tested when </w:t>
      </w:r>
      <w:r w:rsidR="001F7151">
        <w:t xml:space="preserve">the </w:t>
      </w:r>
      <w:r w:rsidR="00DB7F9D">
        <w:t xml:space="preserve">RMA is </w:t>
      </w:r>
      <w:proofErr w:type="gramStart"/>
      <w:r w:rsidR="00DB7F9D">
        <w:t>submitted</w:t>
      </w:r>
      <w:proofErr w:type="gramEnd"/>
      <w:r w:rsidR="001F7151">
        <w:t xml:space="preserve"> and it would be an easy job to show </w:t>
      </w:r>
      <w:r w:rsidR="00AF7A0E">
        <w:t xml:space="preserve">(and check) whether the value attributed to that window was met by the detailed scheme. I do not accept therefore that the officer is justified in his view that a condition as proposed would be </w:t>
      </w:r>
      <w:r w:rsidR="00C851C3">
        <w:t xml:space="preserve">imprecise or unenforceable. Testing against </w:t>
      </w:r>
      <w:proofErr w:type="gramStart"/>
      <w:r w:rsidR="00C851C3">
        <w:t>previously-assessed</w:t>
      </w:r>
      <w:proofErr w:type="gramEnd"/>
      <w:r w:rsidR="00C851C3">
        <w:t xml:space="preserve"> values (in terms of daylight/sunlight just as much as for noise, for instance) is </w:t>
      </w:r>
      <w:r w:rsidR="00FE1E34">
        <w:t xml:space="preserve">very common. </w:t>
      </w:r>
    </w:p>
    <w:p w14:paraId="5CA839EE" w14:textId="77777777" w:rsidR="00FE1E34" w:rsidRDefault="00FE1E34" w:rsidP="00FE1E34">
      <w:pPr>
        <w:pStyle w:val="ListParagraph"/>
      </w:pPr>
    </w:p>
    <w:p w14:paraId="21E155E0" w14:textId="64EE5742" w:rsidR="00FE1E34" w:rsidRDefault="00401114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Third, t</w:t>
      </w:r>
      <w:r w:rsidR="00FE1E34">
        <w:t xml:space="preserve">he Illustrative Scheme is part of the Application evidence, as is the eb7 assessment of its effects. There would be no need in terms of fairness or transparency </w:t>
      </w:r>
      <w:r>
        <w:t xml:space="preserve">to reconsult on the imposition of such a condition, though of course the Council is free to if it wishes. </w:t>
      </w:r>
    </w:p>
    <w:p w14:paraId="34B0FA4D" w14:textId="77777777" w:rsidR="00401114" w:rsidRDefault="00401114" w:rsidP="00401114">
      <w:pPr>
        <w:pStyle w:val="ListParagraph"/>
      </w:pPr>
    </w:p>
    <w:p w14:paraId="4CD8D004" w14:textId="66E2C210" w:rsidR="00401114" w:rsidRDefault="00401114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Fourth, the Officer suggests that to </w:t>
      </w:r>
      <w:r w:rsidR="007F05B8">
        <w:t xml:space="preserve">require that the detailed scheme </w:t>
      </w:r>
      <w:r w:rsidR="00F94E11">
        <w:t xml:space="preserve">does not cause any greater daylight/sunlight effect than the Illustrative Scheme </w:t>
      </w:r>
      <w:r w:rsidR="006669E3">
        <w:t xml:space="preserve">would constitute a ‘significant change’ in the Application necessitating a fresh application for permission. I consider that to be entirely unwarranted: the </w:t>
      </w:r>
      <w:r w:rsidR="002847CF">
        <w:t xml:space="preserve">suggested condition merely restricts the effects on daylight/sunlight to those caused </w:t>
      </w:r>
      <w:r w:rsidR="002847CF">
        <w:rPr>
          <w:i/>
          <w:iCs/>
        </w:rPr>
        <w:t xml:space="preserve">by a version of the Scheme </w:t>
      </w:r>
      <w:r w:rsidR="002847CF">
        <w:t>(</w:t>
      </w:r>
      <w:proofErr w:type="spellStart"/>
      <w:r w:rsidR="002847CF">
        <w:t>ie</w:t>
      </w:r>
      <w:proofErr w:type="spellEnd"/>
      <w:r w:rsidR="002847CF">
        <w:t>, the Illustrative Scheme).</w:t>
      </w:r>
    </w:p>
    <w:p w14:paraId="28EC28BD" w14:textId="77777777" w:rsidR="00AE7716" w:rsidRDefault="00AE7716" w:rsidP="00AE7716">
      <w:pPr>
        <w:pStyle w:val="ListParagraph"/>
      </w:pPr>
    </w:p>
    <w:p w14:paraId="24E60F78" w14:textId="1395B3D7" w:rsidR="00AE7716" w:rsidRDefault="00AE7716" w:rsidP="00FF288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In summary, I cannot see any legal or practical justification for the Council to reject such a condition, if it felt </w:t>
      </w:r>
      <w:r w:rsidR="00936AA8">
        <w:t xml:space="preserve">it appropriate to limit the effects of the Scheme in daylight/sunlight terms to below those caused by the Parameter Plans. </w:t>
      </w:r>
    </w:p>
    <w:p w14:paraId="38329AFE" w14:textId="77777777" w:rsidR="009A29D7" w:rsidRDefault="009A29D7" w:rsidP="009A29D7">
      <w:pPr>
        <w:pStyle w:val="ListParagraph"/>
      </w:pPr>
    </w:p>
    <w:p w14:paraId="1A7C937B" w14:textId="77777777" w:rsidR="009A29D7" w:rsidRDefault="009A29D7" w:rsidP="009A29D7">
      <w:pPr>
        <w:pStyle w:val="ListParagraph"/>
        <w:spacing w:line="360" w:lineRule="auto"/>
        <w:jc w:val="both"/>
      </w:pPr>
    </w:p>
    <w:p w14:paraId="46C001DA" w14:textId="77777777" w:rsidR="009A29D7" w:rsidRDefault="009A29D7" w:rsidP="009A29D7">
      <w:pPr>
        <w:pStyle w:val="ListParagraph"/>
        <w:spacing w:line="360" w:lineRule="auto"/>
        <w:jc w:val="both"/>
      </w:pPr>
    </w:p>
    <w:p w14:paraId="4615E47F" w14:textId="77777777" w:rsidR="009A29D7" w:rsidRDefault="009A29D7" w:rsidP="009A29D7">
      <w:pPr>
        <w:pStyle w:val="ListParagraph"/>
        <w:spacing w:line="360" w:lineRule="auto"/>
        <w:jc w:val="both"/>
      </w:pPr>
    </w:p>
    <w:p w14:paraId="7ED63C4C" w14:textId="77777777" w:rsidR="009A29D7" w:rsidRDefault="009A29D7" w:rsidP="009A29D7">
      <w:pPr>
        <w:pStyle w:val="ListParagraph"/>
        <w:spacing w:line="360" w:lineRule="auto"/>
        <w:jc w:val="both"/>
      </w:pPr>
    </w:p>
    <w:p w14:paraId="16690E3E" w14:textId="7D9296FA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  <w:r>
        <w:rPr>
          <w:b/>
          <w:bCs w:val="0"/>
        </w:rPr>
        <w:t>RUPERT WARREN K.C.</w:t>
      </w:r>
    </w:p>
    <w:p w14:paraId="348C8859" w14:textId="77777777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</w:p>
    <w:p w14:paraId="4DD24B8F" w14:textId="6E447543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  <w:r>
        <w:rPr>
          <w:b/>
          <w:bCs w:val="0"/>
        </w:rPr>
        <w:t>Landmark Chambers</w:t>
      </w:r>
    </w:p>
    <w:p w14:paraId="43D2EB36" w14:textId="4A8DBAB0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  <w:r>
        <w:rPr>
          <w:b/>
          <w:bCs w:val="0"/>
        </w:rPr>
        <w:t>180 Fleet St</w:t>
      </w:r>
    </w:p>
    <w:p w14:paraId="3DCC93B4" w14:textId="0DF0B0D2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  <w:r>
        <w:rPr>
          <w:b/>
          <w:bCs w:val="0"/>
        </w:rPr>
        <w:t>London EC4A 2HG</w:t>
      </w:r>
    </w:p>
    <w:p w14:paraId="7ECC657D" w14:textId="77777777" w:rsidR="009A29D7" w:rsidRDefault="009A29D7" w:rsidP="009A29D7">
      <w:pPr>
        <w:pStyle w:val="ListParagraph"/>
        <w:spacing w:line="240" w:lineRule="auto"/>
        <w:jc w:val="right"/>
        <w:rPr>
          <w:b/>
          <w:bCs w:val="0"/>
        </w:rPr>
      </w:pPr>
    </w:p>
    <w:p w14:paraId="351DBD43" w14:textId="204795FD" w:rsidR="0091524F" w:rsidRPr="0091524F" w:rsidRDefault="009A29D7" w:rsidP="009A29D7">
      <w:pPr>
        <w:pStyle w:val="ListParagraph"/>
        <w:spacing w:line="240" w:lineRule="auto"/>
        <w:jc w:val="right"/>
        <w:rPr>
          <w:b/>
          <w:bCs w:val="0"/>
          <w:u w:val="single"/>
        </w:rPr>
      </w:pPr>
      <w:r>
        <w:rPr>
          <w:b/>
          <w:bCs w:val="0"/>
        </w:rPr>
        <w:t>1</w:t>
      </w:r>
      <w:r w:rsidR="00C97202">
        <w:rPr>
          <w:b/>
          <w:bCs w:val="0"/>
        </w:rPr>
        <w:t>0</w:t>
      </w:r>
      <w:r>
        <w:rPr>
          <w:b/>
          <w:bCs w:val="0"/>
        </w:rPr>
        <w:t xml:space="preserve"> February 2025</w:t>
      </w:r>
    </w:p>
    <w:sectPr w:rsidR="0091524F" w:rsidRPr="00915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A53B" w14:textId="77777777" w:rsidR="00C7377F" w:rsidRDefault="00C7377F" w:rsidP="00C7377F">
      <w:pPr>
        <w:spacing w:after="0" w:line="240" w:lineRule="auto"/>
      </w:pPr>
      <w:r>
        <w:separator/>
      </w:r>
    </w:p>
  </w:endnote>
  <w:endnote w:type="continuationSeparator" w:id="0">
    <w:p w14:paraId="3385265C" w14:textId="77777777" w:rsidR="00C7377F" w:rsidRDefault="00C7377F" w:rsidP="00C7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71C3" w14:textId="77777777" w:rsidR="00DC442C" w:rsidRDefault="00DC4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065647"/>
      <w:docPartObj>
        <w:docPartGallery w:val="Page Numbers (Bottom of Page)"/>
        <w:docPartUnique/>
      </w:docPartObj>
    </w:sdtPr>
    <w:sdtEndPr/>
    <w:sdtContent>
      <w:p w14:paraId="4F268CFD" w14:textId="268DE41F" w:rsidR="00C7377F" w:rsidRDefault="00C737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88C9E" w14:textId="77777777" w:rsidR="00C7377F" w:rsidRDefault="00C73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2AF" w14:textId="77777777" w:rsidR="00DC442C" w:rsidRDefault="00DC4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7DD" w14:textId="77777777" w:rsidR="00C7377F" w:rsidRDefault="00C7377F" w:rsidP="00C7377F">
      <w:pPr>
        <w:spacing w:after="0" w:line="240" w:lineRule="auto"/>
      </w:pPr>
      <w:r>
        <w:separator/>
      </w:r>
    </w:p>
  </w:footnote>
  <w:footnote w:type="continuationSeparator" w:id="0">
    <w:p w14:paraId="7F1DD4F4" w14:textId="77777777" w:rsidR="00C7377F" w:rsidRDefault="00C7377F" w:rsidP="00C7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3A2A" w14:textId="77777777" w:rsidR="00DC442C" w:rsidRDefault="00DC4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8DC5" w14:textId="77777777" w:rsidR="00DC442C" w:rsidRDefault="00DC4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6C1" w14:textId="77777777" w:rsidR="00DC442C" w:rsidRDefault="00DC4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8160B"/>
    <w:multiLevelType w:val="hybridMultilevel"/>
    <w:tmpl w:val="0D12B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4F"/>
    <w:rsid w:val="000F02AC"/>
    <w:rsid w:val="000F710D"/>
    <w:rsid w:val="0012415A"/>
    <w:rsid w:val="001B422C"/>
    <w:rsid w:val="001F7151"/>
    <w:rsid w:val="00211D4F"/>
    <w:rsid w:val="0023721D"/>
    <w:rsid w:val="002847CF"/>
    <w:rsid w:val="003218BA"/>
    <w:rsid w:val="003D1ABC"/>
    <w:rsid w:val="003D5260"/>
    <w:rsid w:val="003E5625"/>
    <w:rsid w:val="00401114"/>
    <w:rsid w:val="004147C1"/>
    <w:rsid w:val="00483846"/>
    <w:rsid w:val="004940C0"/>
    <w:rsid w:val="00537F72"/>
    <w:rsid w:val="005515C8"/>
    <w:rsid w:val="006669E3"/>
    <w:rsid w:val="0068422B"/>
    <w:rsid w:val="006A7886"/>
    <w:rsid w:val="007317D6"/>
    <w:rsid w:val="00771F48"/>
    <w:rsid w:val="007B04B0"/>
    <w:rsid w:val="007B7DE6"/>
    <w:rsid w:val="007C58BD"/>
    <w:rsid w:val="007F05B8"/>
    <w:rsid w:val="007F5A64"/>
    <w:rsid w:val="007F6311"/>
    <w:rsid w:val="00806C6E"/>
    <w:rsid w:val="008512CF"/>
    <w:rsid w:val="00873304"/>
    <w:rsid w:val="008B26B3"/>
    <w:rsid w:val="008E5CB8"/>
    <w:rsid w:val="0091524F"/>
    <w:rsid w:val="00926086"/>
    <w:rsid w:val="00934491"/>
    <w:rsid w:val="00936AA8"/>
    <w:rsid w:val="00960129"/>
    <w:rsid w:val="00967A4C"/>
    <w:rsid w:val="00967B0A"/>
    <w:rsid w:val="00977157"/>
    <w:rsid w:val="009A29D7"/>
    <w:rsid w:val="009A7688"/>
    <w:rsid w:val="009B1592"/>
    <w:rsid w:val="00A76460"/>
    <w:rsid w:val="00AE7716"/>
    <w:rsid w:val="00AF7A0E"/>
    <w:rsid w:val="00B36495"/>
    <w:rsid w:val="00B5333B"/>
    <w:rsid w:val="00BF440A"/>
    <w:rsid w:val="00BF643E"/>
    <w:rsid w:val="00C7377F"/>
    <w:rsid w:val="00C851C3"/>
    <w:rsid w:val="00C97202"/>
    <w:rsid w:val="00D078F4"/>
    <w:rsid w:val="00D8018B"/>
    <w:rsid w:val="00DB7F9D"/>
    <w:rsid w:val="00DC442C"/>
    <w:rsid w:val="00DD6860"/>
    <w:rsid w:val="00E1251C"/>
    <w:rsid w:val="00E67DBB"/>
    <w:rsid w:val="00E807CC"/>
    <w:rsid w:val="00E86EF7"/>
    <w:rsid w:val="00F31B96"/>
    <w:rsid w:val="00F94E11"/>
    <w:rsid w:val="00FD2D93"/>
    <w:rsid w:val="00FE1E34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C694"/>
  <w15:chartTrackingRefBased/>
  <w15:docId w15:val="{B08AF217-E8B3-4C6B-988E-016CB15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4F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7F"/>
  </w:style>
  <w:style w:type="paragraph" w:styleId="Footer">
    <w:name w:val="footer"/>
    <w:basedOn w:val="Normal"/>
    <w:link w:val="FooterChar"/>
    <w:uiPriority w:val="99"/>
    <w:unhideWhenUsed/>
    <w:rsid w:val="00C7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7F"/>
  </w:style>
  <w:style w:type="paragraph" w:styleId="Revision">
    <w:name w:val="Revision"/>
    <w:hidden/>
    <w:uiPriority w:val="99"/>
    <w:semiHidden/>
    <w:rsid w:val="006A7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DEFD644E9A04DBA8A2040D8674FFF" ma:contentTypeVersion="17" ma:contentTypeDescription="Create a new document." ma:contentTypeScope="" ma:versionID="7a30ee51bf02a0bb4704c2df3b9c0077">
  <xsd:schema xmlns:xsd="http://www.w3.org/2001/XMLSchema" xmlns:xs="http://www.w3.org/2001/XMLSchema" xmlns:p="http://schemas.microsoft.com/office/2006/metadata/properties" xmlns:ns2="19a5b6eb-82e1-4c16-9e98-9639263e9fc6" xmlns:ns3="245b90aa-ba8d-4bee-9b20-f56e8b0fe516" targetNamespace="http://schemas.microsoft.com/office/2006/metadata/properties" ma:root="true" ma:fieldsID="c3eba7fa188ba31c4464303007926c11" ns2:_="" ns3:_="">
    <xsd:import namespace="19a5b6eb-82e1-4c16-9e98-9639263e9fc6"/>
    <xsd:import namespace="245b90aa-ba8d-4bee-9b20-f56e8b0fe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5b6eb-82e1-4c16-9e98-9639263e9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90aa-ba8d-4bee-9b20-f56e8b0fe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53da39-ac5e-4efd-96a1-4600c70d4b8e}" ma:internalName="TaxCatchAll" ma:showField="CatchAllData" ma:web="245b90aa-ba8d-4bee-9b20-f56e8b0fe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90aa-ba8d-4bee-9b20-f56e8b0fe516" xsi:nil="true"/>
    <lcf76f155ced4ddcb4097134ff3c332f xmlns="19a5b6eb-82e1-4c16-9e98-9639263e9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350DA-FC88-4224-8EAC-CEA72479F701}"/>
</file>

<file path=customXml/itemProps2.xml><?xml version="1.0" encoding="utf-8"?>
<ds:datastoreItem xmlns:ds="http://schemas.openxmlformats.org/officeDocument/2006/customXml" ds:itemID="{0C699CC2-8B7F-41FD-9F5E-C0797A5C5BA7}"/>
</file>

<file path=customXml/itemProps3.xml><?xml version="1.0" encoding="utf-8"?>
<ds:datastoreItem xmlns:ds="http://schemas.openxmlformats.org/officeDocument/2006/customXml" ds:itemID="{3708549C-2477-4E6E-A7BB-87A7C9569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Hood</dc:creator>
  <cp:keywords/>
  <dc:description/>
  <cp:lastModifiedBy>Alfie Hood</cp:lastModifiedBy>
  <cp:revision>2</cp:revision>
  <dcterms:created xsi:type="dcterms:W3CDTF">2025-04-15T09:10:00Z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0x010100564DEFD644E9A04DBA8A2040D8674FFF</vt:lpwstr>
  </property>
</Properties>
</file>