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60778" w14:textId="77777777" w:rsidR="00473404" w:rsidRDefault="00473404" w:rsidP="00473404">
      <w:pPr>
        <w:jc w:val="center"/>
        <w:rPr>
          <w:b/>
          <w:bCs w:val="0"/>
        </w:rPr>
      </w:pPr>
      <w:bookmarkStart w:id="0" w:name="_GoBack"/>
      <w:bookmarkEnd w:id="0"/>
      <w:r>
        <w:rPr>
          <w:b/>
          <w:bCs w:val="0"/>
        </w:rPr>
        <w:t>TOWN AND COUNTRY PLANNING ACT 1990</w:t>
      </w:r>
    </w:p>
    <w:p w14:paraId="3CA97A5C" w14:textId="77777777" w:rsidR="00473404" w:rsidRDefault="00473404" w:rsidP="00473404">
      <w:pPr>
        <w:jc w:val="center"/>
        <w:rPr>
          <w:b/>
          <w:bCs w:val="0"/>
        </w:rPr>
      </w:pPr>
      <w:r>
        <w:rPr>
          <w:b/>
          <w:bCs w:val="0"/>
        </w:rPr>
        <w:t>PLANNING AND COMPULSORY PURCHASE ACT 2004</w:t>
      </w:r>
    </w:p>
    <w:p w14:paraId="4CC7E740" w14:textId="77777777" w:rsidR="00473404" w:rsidRDefault="00473404" w:rsidP="00473404">
      <w:pPr>
        <w:jc w:val="center"/>
        <w:rPr>
          <w:b/>
          <w:bCs w:val="0"/>
        </w:rPr>
      </w:pPr>
    </w:p>
    <w:p w14:paraId="2BFF5532" w14:textId="77777777" w:rsidR="00473404" w:rsidRDefault="00473404" w:rsidP="00473404">
      <w:pPr>
        <w:jc w:val="center"/>
        <w:rPr>
          <w:b/>
          <w:bCs w:val="0"/>
        </w:rPr>
      </w:pPr>
      <w:r>
        <w:rPr>
          <w:b/>
          <w:bCs w:val="0"/>
        </w:rPr>
        <w:t xml:space="preserve">APPLICATION BY RAILWAY PENSION NOMINEES LIMITED </w:t>
      </w:r>
    </w:p>
    <w:p w14:paraId="7D743BEC" w14:textId="77777777" w:rsidR="00473404" w:rsidRDefault="00473404" w:rsidP="00473404">
      <w:pPr>
        <w:jc w:val="center"/>
        <w:rPr>
          <w:b/>
          <w:bCs w:val="0"/>
        </w:rPr>
      </w:pPr>
      <w:r>
        <w:rPr>
          <w:b/>
          <w:bCs w:val="0"/>
        </w:rPr>
        <w:t>BEEHIVE CENTRE, COLDHAMS LANE, CAMBRIDGE</w:t>
      </w:r>
    </w:p>
    <w:p w14:paraId="6F2BC7FD" w14:textId="77777777" w:rsidR="00473404" w:rsidRDefault="00473404" w:rsidP="00473404">
      <w:pPr>
        <w:jc w:val="center"/>
        <w:rPr>
          <w:b/>
          <w:bCs w:val="0"/>
          <w:u w:val="single"/>
        </w:rPr>
      </w:pPr>
    </w:p>
    <w:p w14:paraId="7DA42D77" w14:textId="087A93EC" w:rsidR="00473404" w:rsidRDefault="00473404" w:rsidP="00473404">
      <w:pPr>
        <w:jc w:val="center"/>
        <w:rPr>
          <w:b/>
          <w:bCs w:val="0"/>
          <w:sz w:val="18"/>
          <w:szCs w:val="18"/>
        </w:rPr>
      </w:pPr>
      <w:r>
        <w:rPr>
          <w:b/>
          <w:bCs w:val="0"/>
          <w:sz w:val="18"/>
          <w:szCs w:val="18"/>
        </w:rPr>
        <w:t>Inquiry sat 24-6 June, 2 July 2025</w:t>
      </w:r>
    </w:p>
    <w:p w14:paraId="1E71387A" w14:textId="77777777" w:rsidR="00473404" w:rsidRPr="00951A9A" w:rsidRDefault="00473404" w:rsidP="00473404">
      <w:pPr>
        <w:jc w:val="center"/>
        <w:rPr>
          <w:b/>
          <w:bCs w:val="0"/>
          <w:sz w:val="18"/>
          <w:szCs w:val="18"/>
        </w:rPr>
      </w:pPr>
      <w:r>
        <w:rPr>
          <w:b/>
          <w:bCs w:val="0"/>
          <w:sz w:val="18"/>
          <w:szCs w:val="18"/>
        </w:rPr>
        <w:t>APP/Q0505/V/25/3360616</w:t>
      </w:r>
    </w:p>
    <w:p w14:paraId="789058BD" w14:textId="77777777" w:rsidR="00473404" w:rsidRDefault="00473404" w:rsidP="00473404">
      <w:pPr>
        <w:jc w:val="center"/>
        <w:rPr>
          <w:b/>
          <w:bCs w:val="0"/>
          <w:u w:val="single"/>
        </w:rPr>
      </w:pPr>
    </w:p>
    <w:p w14:paraId="54A9423F" w14:textId="77777777" w:rsidR="00473404" w:rsidRDefault="00473404" w:rsidP="00473404">
      <w:pPr>
        <w:jc w:val="center"/>
        <w:rPr>
          <w:b/>
          <w:bCs w:val="0"/>
          <w:u w:val="single"/>
        </w:rPr>
      </w:pPr>
    </w:p>
    <w:p w14:paraId="7C5F40D3" w14:textId="649F7D86" w:rsidR="00473404" w:rsidRDefault="00473404" w:rsidP="00473404">
      <w:pPr>
        <w:jc w:val="center"/>
        <w:rPr>
          <w:b/>
          <w:bCs w:val="0"/>
        </w:rPr>
      </w:pPr>
      <w:r>
        <w:rPr>
          <w:b/>
          <w:bCs w:val="0"/>
          <w:u w:val="single"/>
        </w:rPr>
        <w:t>APPLICANT’S CLOSING SUBMISSIONS</w:t>
      </w:r>
    </w:p>
    <w:p w14:paraId="79D56E06" w14:textId="77777777" w:rsidR="008B26B3" w:rsidRDefault="008B26B3"/>
    <w:p w14:paraId="71A54B67" w14:textId="77777777" w:rsidR="005A1C82" w:rsidRDefault="005A1C82"/>
    <w:p w14:paraId="76B3E893" w14:textId="77777777" w:rsidR="00E46A5C" w:rsidRDefault="00E46A5C"/>
    <w:p w14:paraId="47E3B9E2" w14:textId="281273B3" w:rsidR="00E46A5C" w:rsidRPr="00E46A5C" w:rsidRDefault="00E46A5C">
      <w:pPr>
        <w:rPr>
          <w:b/>
          <w:bCs w:val="0"/>
        </w:rPr>
      </w:pPr>
      <w:r>
        <w:tab/>
      </w:r>
      <w:r>
        <w:rPr>
          <w:b/>
          <w:bCs w:val="0"/>
        </w:rPr>
        <w:t>Introduction</w:t>
      </w:r>
    </w:p>
    <w:p w14:paraId="659855D1" w14:textId="77777777" w:rsidR="005A1C82" w:rsidRDefault="005A1C82"/>
    <w:p w14:paraId="64AD267D" w14:textId="63C0C0F1" w:rsidR="005323C4" w:rsidRDefault="00F11D0E" w:rsidP="00E46A5C">
      <w:pPr>
        <w:pStyle w:val="ListParagraph"/>
        <w:numPr>
          <w:ilvl w:val="0"/>
          <w:numId w:val="1"/>
        </w:numPr>
        <w:spacing w:line="360" w:lineRule="auto"/>
        <w:jc w:val="both"/>
      </w:pPr>
      <w:r>
        <w:t xml:space="preserve">The main parties to this called-in application </w:t>
      </w:r>
      <w:r w:rsidR="002135E3">
        <w:t>are Railpen, the Applicant, and Cambridge City Council (“the Council”</w:t>
      </w:r>
      <w:r w:rsidR="00C04849">
        <w:rPr>
          <w:rStyle w:val="FootnoteReference"/>
        </w:rPr>
        <w:footnoteReference w:id="1"/>
      </w:r>
      <w:r w:rsidR="002135E3">
        <w:t xml:space="preserve">) the local planning authority. </w:t>
      </w:r>
      <w:r w:rsidR="005323C4">
        <w:t xml:space="preserve">As things stand at the close of the inquiry, the main parties now </w:t>
      </w:r>
      <w:r>
        <w:t>agree that permission should be granted</w:t>
      </w:r>
      <w:r w:rsidR="005323C4">
        <w:t xml:space="preserve"> for the application scheme</w:t>
      </w:r>
      <w:r w:rsidR="0009498E">
        <w:t xml:space="preserve">, subject to conditions and s.106 obligations. </w:t>
      </w:r>
      <w:r w:rsidR="00B707AB">
        <w:t xml:space="preserve"> </w:t>
      </w:r>
    </w:p>
    <w:p w14:paraId="63CD7BF8" w14:textId="77777777" w:rsidR="005323C4" w:rsidRDefault="005323C4" w:rsidP="005323C4">
      <w:pPr>
        <w:pStyle w:val="ListParagraph"/>
        <w:spacing w:line="360" w:lineRule="auto"/>
        <w:jc w:val="both"/>
      </w:pPr>
    </w:p>
    <w:p w14:paraId="3182EF64" w14:textId="058C467B" w:rsidR="005A1C82" w:rsidRDefault="007F3903" w:rsidP="00E46A5C">
      <w:pPr>
        <w:pStyle w:val="ListParagraph"/>
        <w:numPr>
          <w:ilvl w:val="0"/>
          <w:numId w:val="1"/>
        </w:numPr>
        <w:spacing w:line="360" w:lineRule="auto"/>
        <w:jc w:val="both"/>
      </w:pPr>
      <w:r>
        <w:t>That position arises as set out in the Council’s Position Statement of 25 June 2025</w:t>
      </w:r>
      <w:r w:rsidR="00850B8B">
        <w:rPr>
          <w:rStyle w:val="FootnoteReference"/>
        </w:rPr>
        <w:footnoteReference w:id="2"/>
      </w:r>
      <w:r w:rsidR="00850B8B">
        <w:t xml:space="preserve"> and is covered in </w:t>
      </w:r>
      <w:r w:rsidR="00067645">
        <w:t xml:space="preserve">its closing submissions, but clearly it is a matter of some importance that the Council has effectively withdrawn its one putative reason for refusal (relating to residential amenity) </w:t>
      </w:r>
      <w:r w:rsidR="004056F7">
        <w:t>on the basis that the matter can be covered by condition</w:t>
      </w:r>
      <w:r w:rsidR="00C04849">
        <w:t xml:space="preserve"> and on the basis that other harms </w:t>
      </w:r>
      <w:r w:rsidR="00A47E4D">
        <w:t>are outweighed by scheme benefits</w:t>
      </w:r>
      <w:r w:rsidR="004056F7">
        <w:t xml:space="preserve">. </w:t>
      </w:r>
      <w:r w:rsidR="00963995">
        <w:t>I</w:t>
      </w:r>
      <w:r w:rsidR="005D4D7E">
        <w:t>t also has the effect – of some relief to all concerned, no doubt – that these closing submissions are able to be relatively short and succinct.</w:t>
      </w:r>
    </w:p>
    <w:p w14:paraId="79335164" w14:textId="77777777" w:rsidR="00F060CA" w:rsidRDefault="00F060CA" w:rsidP="00F060CA">
      <w:pPr>
        <w:pStyle w:val="ListParagraph"/>
      </w:pPr>
    </w:p>
    <w:p w14:paraId="36DDE1FC" w14:textId="7F4EF295" w:rsidR="00F060CA" w:rsidRDefault="00F060CA" w:rsidP="00E46A5C">
      <w:pPr>
        <w:pStyle w:val="ListParagraph"/>
        <w:numPr>
          <w:ilvl w:val="0"/>
          <w:numId w:val="1"/>
        </w:numPr>
        <w:spacing w:line="360" w:lineRule="auto"/>
        <w:jc w:val="both"/>
      </w:pPr>
      <w:r>
        <w:t>There is a main Statement of Common Ground</w:t>
      </w:r>
      <w:r>
        <w:rPr>
          <w:rStyle w:val="FootnoteReference"/>
        </w:rPr>
        <w:footnoteReference w:id="3"/>
      </w:r>
      <w:r>
        <w:t xml:space="preserve"> as well as agreed Topic Papers on a range of matters which are all agreed between the main parties. The Applicant’s evidence was called without cross-examination</w:t>
      </w:r>
      <w:r w:rsidR="00B238A8">
        <w:t xml:space="preserve"> by the Council on the basis that the Council considers that any remaining difference of opinion </w:t>
      </w:r>
      <w:r w:rsidR="004F5930">
        <w:t xml:space="preserve">is immaterial to the overall outcome. However, the Applicant </w:t>
      </w:r>
      <w:r w:rsidR="004F5930">
        <w:lastRenderedPageBreak/>
        <w:t>stands by all of its evidence and relies on it all including what was said by the six witnesses orally when they gave e</w:t>
      </w:r>
      <w:r w:rsidR="00A62B4B">
        <w:t>vidence.</w:t>
      </w:r>
    </w:p>
    <w:p w14:paraId="2318B2FB" w14:textId="02D6645A" w:rsidR="00E46A5C" w:rsidRDefault="00E46A5C" w:rsidP="00E46A5C">
      <w:pPr>
        <w:pStyle w:val="ListParagraph"/>
        <w:spacing w:line="360" w:lineRule="auto"/>
        <w:jc w:val="both"/>
      </w:pPr>
    </w:p>
    <w:p w14:paraId="6D85AA30" w14:textId="7F73D62E" w:rsidR="00E46A5C" w:rsidRDefault="0009498E" w:rsidP="00E46A5C">
      <w:pPr>
        <w:pStyle w:val="ListParagraph"/>
        <w:numPr>
          <w:ilvl w:val="0"/>
          <w:numId w:val="1"/>
        </w:numPr>
        <w:spacing w:line="360" w:lineRule="auto"/>
        <w:jc w:val="both"/>
      </w:pPr>
      <w:r>
        <w:t>Some objections from interested groups and parties (though none of them with Rule 6 status) remain</w:t>
      </w:r>
      <w:r w:rsidR="00D66B31">
        <w:t>; their points are picked up under the main issues later in these submissions.</w:t>
      </w:r>
    </w:p>
    <w:p w14:paraId="340122C6" w14:textId="77777777" w:rsidR="00E46A5C" w:rsidRDefault="00E46A5C" w:rsidP="00E46A5C">
      <w:pPr>
        <w:pStyle w:val="ListParagraph"/>
      </w:pPr>
    </w:p>
    <w:p w14:paraId="39361A5D" w14:textId="2C6CC0A4" w:rsidR="00E46A5C" w:rsidRDefault="00C64856" w:rsidP="00E46A5C">
      <w:pPr>
        <w:pStyle w:val="ListParagraph"/>
        <w:numPr>
          <w:ilvl w:val="0"/>
          <w:numId w:val="1"/>
        </w:numPr>
        <w:spacing w:line="360" w:lineRule="auto"/>
        <w:jc w:val="both"/>
      </w:pPr>
      <w:r>
        <w:t xml:space="preserve">Officers recommended that permission be refused on residential </w:t>
      </w:r>
      <w:r w:rsidR="00AE7F44">
        <w:t xml:space="preserve">amenity terms, whilst recognising most of the benefits that the scheme would bring. The Applicant did not consider that such a refusal was well-founded at the time and sought the </w:t>
      </w:r>
      <w:r w:rsidR="001D3000">
        <w:t>call-in of the application. As I</w:t>
      </w:r>
      <w:r w:rsidR="00841659">
        <w:t xml:space="preserve"> have said</w:t>
      </w:r>
      <w:r w:rsidR="001D3000">
        <w:t xml:space="preserve">, the Applicant </w:t>
      </w:r>
      <w:r w:rsidR="000C0DE2">
        <w:t>fully stands by its evidence on all relevant matters, including on the question of impact on neighbouring residential occupiers</w:t>
      </w:r>
      <w:r w:rsidR="005B4717">
        <w:t>.</w:t>
      </w:r>
    </w:p>
    <w:p w14:paraId="6168BC4F" w14:textId="77777777" w:rsidR="005B4717" w:rsidRDefault="005B4717" w:rsidP="005B4717">
      <w:pPr>
        <w:pStyle w:val="ListParagraph"/>
      </w:pPr>
    </w:p>
    <w:p w14:paraId="4B74F85C" w14:textId="57C65D15" w:rsidR="005B4717" w:rsidRDefault="005B4717" w:rsidP="00E46A5C">
      <w:pPr>
        <w:pStyle w:val="ListParagraph"/>
        <w:numPr>
          <w:ilvl w:val="0"/>
          <w:numId w:val="1"/>
        </w:numPr>
        <w:spacing w:line="360" w:lineRule="auto"/>
        <w:jc w:val="both"/>
      </w:pPr>
      <w:r>
        <w:t>The Applicant’s position is based on the very careful work it undertook over some years with the officers of the Council and other stakeholders, and the well-</w:t>
      </w:r>
      <w:r w:rsidR="006A0A39">
        <w:t>founded belief that the scheme would transform the Beehive Centre from underused urban PDL to a vibrant mix</w:t>
      </w:r>
      <w:r w:rsidR="006D33EA">
        <w:t xml:space="preserve"> of uses needed locally and needed nationally. </w:t>
      </w:r>
      <w:r w:rsidR="00304AB7">
        <w:t>It is a high-quality proposition brought forward by a</w:t>
      </w:r>
      <w:r w:rsidR="00F2466F">
        <w:t xml:space="preserve"> team </w:t>
      </w:r>
      <w:r w:rsidR="00C63126">
        <w:t xml:space="preserve">exceptionally </w:t>
      </w:r>
      <w:r w:rsidR="00F2466F">
        <w:t>well versed in Cambridge and in the development sectors it is in</w:t>
      </w:r>
      <w:r w:rsidR="009C1D24">
        <w:t>tended to serve.</w:t>
      </w:r>
      <w:r w:rsidR="00F2466F">
        <w:t xml:space="preserve"> </w:t>
      </w:r>
      <w:r w:rsidR="006D33EA">
        <w:t xml:space="preserve">The provision of </w:t>
      </w:r>
      <w:r w:rsidR="006E67E8">
        <w:t xml:space="preserve">considerable </w:t>
      </w:r>
      <w:r w:rsidR="006D33EA">
        <w:t xml:space="preserve">life sciences floorspace and offices in a City location – not on the fringes of the urban area </w:t>
      </w:r>
      <w:r w:rsidR="00901352">
        <w:t>–</w:t>
      </w:r>
      <w:r w:rsidR="006D33EA">
        <w:t xml:space="preserve"> </w:t>
      </w:r>
      <w:r w:rsidR="00901352">
        <w:t xml:space="preserve">would </w:t>
      </w:r>
      <w:r w:rsidR="00304AB7">
        <w:t xml:space="preserve">meet key national targets for economic growth in one of the most important places in the country. </w:t>
      </w:r>
    </w:p>
    <w:p w14:paraId="2CE62AB1" w14:textId="77777777" w:rsidR="00E46A5C" w:rsidRDefault="00E46A5C" w:rsidP="00E46A5C">
      <w:pPr>
        <w:pStyle w:val="ListParagraph"/>
      </w:pPr>
    </w:p>
    <w:p w14:paraId="6644F673" w14:textId="77777777" w:rsidR="00E46A5C" w:rsidRDefault="00E46A5C" w:rsidP="00E46A5C">
      <w:pPr>
        <w:pStyle w:val="ListParagraph"/>
      </w:pPr>
    </w:p>
    <w:p w14:paraId="2E51CAC9" w14:textId="77777777" w:rsidR="00E46A5C" w:rsidRDefault="00E46A5C" w:rsidP="00E46A5C">
      <w:pPr>
        <w:pStyle w:val="ListParagraph"/>
      </w:pPr>
    </w:p>
    <w:p w14:paraId="4D10E857" w14:textId="044B3C33" w:rsidR="00E46A5C" w:rsidRPr="00E46A5C" w:rsidRDefault="00E46A5C" w:rsidP="00E46A5C">
      <w:pPr>
        <w:pStyle w:val="ListParagraph"/>
        <w:rPr>
          <w:b/>
          <w:bCs w:val="0"/>
        </w:rPr>
      </w:pPr>
      <w:r>
        <w:rPr>
          <w:b/>
          <w:bCs w:val="0"/>
        </w:rPr>
        <w:t>The application scheme</w:t>
      </w:r>
      <w:r w:rsidR="003003AF">
        <w:rPr>
          <w:b/>
          <w:bCs w:val="0"/>
        </w:rPr>
        <w:t xml:space="preserve"> and how it came about</w:t>
      </w:r>
    </w:p>
    <w:p w14:paraId="61AB7BBD" w14:textId="77777777" w:rsidR="00E46A5C" w:rsidRDefault="00E46A5C" w:rsidP="00E46A5C">
      <w:pPr>
        <w:pStyle w:val="ListParagraph"/>
      </w:pPr>
    </w:p>
    <w:p w14:paraId="435F7113" w14:textId="77777777" w:rsidR="00E46A5C" w:rsidRDefault="00E46A5C" w:rsidP="00E46A5C">
      <w:pPr>
        <w:pStyle w:val="ListParagraph"/>
      </w:pPr>
    </w:p>
    <w:p w14:paraId="4A19894C" w14:textId="70965AFD" w:rsidR="00E46A5C" w:rsidRDefault="00D66B31" w:rsidP="00E46A5C">
      <w:pPr>
        <w:pStyle w:val="ListParagraph"/>
        <w:numPr>
          <w:ilvl w:val="0"/>
          <w:numId w:val="1"/>
        </w:numPr>
        <w:spacing w:line="360" w:lineRule="auto"/>
        <w:jc w:val="both"/>
      </w:pPr>
      <w:r>
        <w:t xml:space="preserve">The scheme </w:t>
      </w:r>
      <w:r w:rsidR="00E14467">
        <w:t xml:space="preserve">is in outline. </w:t>
      </w:r>
      <w:r w:rsidR="002D75C5">
        <w:t>Set out in the main Statement of Common Ground</w:t>
      </w:r>
      <w:r w:rsidR="002D75C5">
        <w:rPr>
          <w:rStyle w:val="FootnoteReference"/>
        </w:rPr>
        <w:footnoteReference w:id="4"/>
      </w:r>
      <w:r w:rsidR="002D75C5">
        <w:t xml:space="preserve"> is the description of development and the </w:t>
      </w:r>
      <w:r w:rsidR="006E4F5C">
        <w:t>drawings to be approved at this stage.</w:t>
      </w:r>
    </w:p>
    <w:p w14:paraId="6E49DD57" w14:textId="356CF7D7" w:rsidR="00E46A5C" w:rsidRDefault="00E46A5C" w:rsidP="00E46A5C">
      <w:pPr>
        <w:pStyle w:val="ListParagraph"/>
        <w:spacing w:line="360" w:lineRule="auto"/>
        <w:jc w:val="both"/>
      </w:pPr>
    </w:p>
    <w:p w14:paraId="24304F1D" w14:textId="7F20F3BD" w:rsidR="00E46A5C" w:rsidRDefault="009228A1" w:rsidP="00E46A5C">
      <w:pPr>
        <w:pStyle w:val="ListParagraph"/>
        <w:numPr>
          <w:ilvl w:val="0"/>
          <w:numId w:val="1"/>
        </w:numPr>
        <w:spacing w:line="360" w:lineRule="auto"/>
        <w:jc w:val="both"/>
      </w:pPr>
      <w:r>
        <w:t xml:space="preserve">From its current retail park use, the application scheme aims to transform the Site into a </w:t>
      </w:r>
      <w:r w:rsidR="002936C8">
        <w:t>rich mix of R&amp;D labs, offices and local facilities. The description is as follows:</w:t>
      </w:r>
    </w:p>
    <w:p w14:paraId="08064F4A" w14:textId="77777777" w:rsidR="00E46A5C" w:rsidRDefault="00E46A5C" w:rsidP="00E46A5C">
      <w:pPr>
        <w:pStyle w:val="ListParagraph"/>
      </w:pPr>
    </w:p>
    <w:p w14:paraId="0B27161B" w14:textId="18D2B13F" w:rsidR="002936C8" w:rsidRPr="002936C8" w:rsidRDefault="002936C8" w:rsidP="00E46A5C">
      <w:pPr>
        <w:pStyle w:val="ListParagraph"/>
        <w:rPr>
          <w:b/>
          <w:bCs w:val="0"/>
        </w:rPr>
      </w:pPr>
      <w:r w:rsidRPr="002936C8">
        <w:rPr>
          <w:b/>
          <w:bCs w:val="0"/>
        </w:rPr>
        <w:t>“Outline Application (with all matters reserved) for the demolition of existing buildings and structures and redevelopment of the Site for a new local centre (E (a-f), F1(b-f), F2(b,d)), open space and employment (office and laboratory) floorspace (E(g)(i)(ii) to the ground floor and employment floorspace (office and laboratory) (E(g)(i)(ii) to the upper floors; along with supporting infrastructure, including pedestrian and cycle routes, vehicular access, car and cycle parking, servicing areas, landscaping and utilities.”</w:t>
      </w:r>
    </w:p>
    <w:p w14:paraId="584459FE" w14:textId="3DAB905B" w:rsidR="00E46A5C" w:rsidRDefault="00E46A5C" w:rsidP="002936C8">
      <w:pPr>
        <w:pStyle w:val="ListParagraph"/>
        <w:spacing w:line="360" w:lineRule="auto"/>
        <w:jc w:val="both"/>
      </w:pPr>
    </w:p>
    <w:p w14:paraId="6D532F16" w14:textId="34BB33E1" w:rsidR="00BA4CA0" w:rsidRDefault="00DD4A35" w:rsidP="00E46A5C">
      <w:pPr>
        <w:pStyle w:val="ListParagraph"/>
        <w:numPr>
          <w:ilvl w:val="0"/>
          <w:numId w:val="1"/>
        </w:numPr>
        <w:spacing w:line="360" w:lineRule="auto"/>
        <w:jc w:val="both"/>
      </w:pPr>
      <w:r>
        <w:t>The drawings to be approved are</w:t>
      </w:r>
      <w:r w:rsidR="0009356F">
        <w:t xml:space="preserve"> listed in draft condition</w:t>
      </w:r>
      <w:r w:rsidR="00054FD0">
        <w:t>s</w:t>
      </w:r>
      <w:r w:rsidR="0009356F">
        <w:t xml:space="preserve"> and comprise the red line location drawing, five Parameter Plans (“PPs”) and Design Code</w:t>
      </w:r>
      <w:r w:rsidR="00BA4CA0">
        <w:t>.</w:t>
      </w:r>
    </w:p>
    <w:p w14:paraId="14926A6C" w14:textId="03D5AF4A" w:rsidR="00BA4CA0" w:rsidRDefault="00BA4CA0" w:rsidP="00BA4CA0">
      <w:pPr>
        <w:pStyle w:val="ListParagraph"/>
        <w:spacing w:line="360" w:lineRule="auto"/>
        <w:jc w:val="both"/>
      </w:pPr>
    </w:p>
    <w:p w14:paraId="7238837A" w14:textId="29CA7E0C" w:rsidR="002936C8" w:rsidRDefault="00BA4CA0" w:rsidP="00E46A5C">
      <w:pPr>
        <w:pStyle w:val="ListParagraph"/>
        <w:numPr>
          <w:ilvl w:val="0"/>
          <w:numId w:val="1"/>
        </w:numPr>
        <w:spacing w:line="360" w:lineRule="auto"/>
        <w:jc w:val="both"/>
      </w:pPr>
      <w:r>
        <w:t xml:space="preserve">There is also before the inquiry a set of drawings and images which show </w:t>
      </w:r>
      <w:r w:rsidR="00084F15">
        <w:t xml:space="preserve">what tends to be called the Illustrative Scheme. This plays an important role in the Council’s </w:t>
      </w:r>
      <w:r w:rsidR="004421E0">
        <w:t xml:space="preserve">revised position before the inquiry, </w:t>
      </w:r>
      <w:r w:rsidR="006A6EB4">
        <w:t>which is based on the modelled Daylight, Sunlight and Overshadowing (“DSO”) results relating to the Illustrative Scheme</w:t>
      </w:r>
      <w:r w:rsidR="00373637">
        <w:t xml:space="preserve">; but it plays an important role in showing the likely quality of </w:t>
      </w:r>
      <w:r w:rsidR="002135E3">
        <w:t>design and sense of place that the scheme will have, and also the way that it will fit into the surrounding area and Cambridge as a whole.</w:t>
      </w:r>
    </w:p>
    <w:p w14:paraId="575EDD79" w14:textId="77777777" w:rsidR="00517E0A" w:rsidRDefault="00517E0A" w:rsidP="00517E0A">
      <w:pPr>
        <w:pStyle w:val="ListParagraph"/>
      </w:pPr>
    </w:p>
    <w:p w14:paraId="6BA9423C" w14:textId="56727148" w:rsidR="00517E0A" w:rsidRDefault="00517E0A" w:rsidP="00E46A5C">
      <w:pPr>
        <w:pStyle w:val="ListParagraph"/>
        <w:numPr>
          <w:ilvl w:val="0"/>
          <w:numId w:val="1"/>
        </w:numPr>
        <w:spacing w:line="360" w:lineRule="auto"/>
        <w:jc w:val="both"/>
      </w:pPr>
      <w:r>
        <w:t xml:space="preserve">Unlike in many outline proposals, the amount of cross-cutting stipulations in the PPs and the Design Code mean that the Illustrative Scheme is, effectively, </w:t>
      </w:r>
      <w:r w:rsidR="007F7ED9">
        <w:t xml:space="preserve">a detailed representation of the PP or outline version of the scheme. As Mr Leonard set out in his evidence, it would not be possible to bring forward a scheme at Reserved Matters (“RM”) stage which </w:t>
      </w:r>
      <w:r w:rsidR="00310F52">
        <w:t xml:space="preserve">filled in the PP ‘boxes’ as the maximum volume of development permitted. </w:t>
      </w:r>
      <w:r w:rsidR="003010AA">
        <w:t xml:space="preserve">That is principally because of the stipulation in the PPs that only a certain percentage of each </w:t>
      </w:r>
      <w:r w:rsidR="008523B8">
        <w:t xml:space="preserve">of the ten </w:t>
      </w:r>
      <w:r w:rsidR="003010AA">
        <w:t>plot</w:t>
      </w:r>
      <w:r w:rsidR="008523B8">
        <w:t>s</w:t>
      </w:r>
      <w:r w:rsidR="003010AA">
        <w:t xml:space="preserve"> may be </w:t>
      </w:r>
      <w:r w:rsidR="008523B8">
        <w:t xml:space="preserve">developed (averaging around 80%, though it varies plot to plot), but also stems from the overlaid requirements for minimum distances between buildings and </w:t>
      </w:r>
      <w:r w:rsidR="00CF21DC">
        <w:t>areas reserved for open space and circulation.</w:t>
      </w:r>
    </w:p>
    <w:p w14:paraId="213CC83E" w14:textId="77777777" w:rsidR="00CF21DC" w:rsidRDefault="00CF21DC" w:rsidP="00CF21DC">
      <w:pPr>
        <w:pStyle w:val="ListParagraph"/>
      </w:pPr>
    </w:p>
    <w:p w14:paraId="23934CD8" w14:textId="77777777" w:rsidR="009C1D24" w:rsidRDefault="00CF21DC" w:rsidP="00E46A5C">
      <w:pPr>
        <w:pStyle w:val="ListParagraph"/>
        <w:numPr>
          <w:ilvl w:val="0"/>
          <w:numId w:val="1"/>
        </w:numPr>
        <w:spacing w:line="360" w:lineRule="auto"/>
        <w:jc w:val="both"/>
      </w:pPr>
      <w:r>
        <w:t xml:space="preserve">The upshot is that the Illustrative Scheme can be relied on </w:t>
      </w:r>
      <w:r w:rsidR="00C16812">
        <w:t xml:space="preserve">in massing, height and DSO terms </w:t>
      </w:r>
      <w:r>
        <w:t xml:space="preserve">as tantamount to the </w:t>
      </w:r>
      <w:r w:rsidR="00C16812">
        <w:t>scheme for which permission is sought in outline.</w:t>
      </w:r>
    </w:p>
    <w:p w14:paraId="2DA9F646" w14:textId="77777777" w:rsidR="00F00C3E" w:rsidRDefault="00F00C3E" w:rsidP="00F00C3E">
      <w:pPr>
        <w:pStyle w:val="ListParagraph"/>
      </w:pPr>
    </w:p>
    <w:p w14:paraId="3FA164EF" w14:textId="1ACC038A" w:rsidR="00F00C3E" w:rsidRDefault="00F00C3E" w:rsidP="00E46A5C">
      <w:pPr>
        <w:pStyle w:val="ListParagraph"/>
        <w:numPr>
          <w:ilvl w:val="0"/>
          <w:numId w:val="1"/>
        </w:numPr>
        <w:spacing w:line="360" w:lineRule="auto"/>
        <w:jc w:val="both"/>
      </w:pPr>
      <w:r>
        <w:t xml:space="preserve">However, </w:t>
      </w:r>
      <w:r w:rsidR="00885F17">
        <w:t xml:space="preserve">in answer to the Inspector’s question earlier in the inquiry, the controls </w:t>
      </w:r>
      <w:r w:rsidR="00611C7C">
        <w:t xml:space="preserve">over the outline permission </w:t>
      </w:r>
      <w:r w:rsidR="00885F17">
        <w:t>would be:</w:t>
      </w:r>
    </w:p>
    <w:p w14:paraId="6EF3A800" w14:textId="77777777" w:rsidR="00885F17" w:rsidRDefault="00885F17" w:rsidP="00885F17">
      <w:pPr>
        <w:pStyle w:val="ListParagraph"/>
      </w:pPr>
    </w:p>
    <w:p w14:paraId="4501BE70" w14:textId="0C05AF79" w:rsidR="00885F17" w:rsidRDefault="00885F17" w:rsidP="00885F17">
      <w:pPr>
        <w:pStyle w:val="ListParagraph"/>
        <w:numPr>
          <w:ilvl w:val="0"/>
          <w:numId w:val="8"/>
        </w:numPr>
        <w:spacing w:line="360" w:lineRule="auto"/>
        <w:jc w:val="both"/>
      </w:pPr>
      <w:r>
        <w:t>Condition</w:t>
      </w:r>
      <w:r w:rsidR="00CE2E94">
        <w:t xml:space="preserve"> </w:t>
      </w:r>
      <w:r>
        <w:t xml:space="preserve">controlling the </w:t>
      </w:r>
      <w:r w:rsidR="00CE2E94">
        <w:t>form of the development by requiring RM to conform to the five approved PPs</w:t>
      </w:r>
    </w:p>
    <w:p w14:paraId="235EC186" w14:textId="4B526EE3" w:rsidR="00CE2E94" w:rsidRDefault="00CE2E94" w:rsidP="00CE2E94">
      <w:pPr>
        <w:pStyle w:val="ListParagraph"/>
        <w:spacing w:line="360" w:lineRule="auto"/>
        <w:ind w:left="1080"/>
        <w:jc w:val="both"/>
      </w:pPr>
    </w:p>
    <w:p w14:paraId="04DD8DF9" w14:textId="68311329" w:rsidR="00CE2E94" w:rsidRDefault="00CE2E94" w:rsidP="00885F17">
      <w:pPr>
        <w:pStyle w:val="ListParagraph"/>
        <w:numPr>
          <w:ilvl w:val="0"/>
          <w:numId w:val="8"/>
        </w:numPr>
        <w:spacing w:line="360" w:lineRule="auto"/>
        <w:jc w:val="both"/>
      </w:pPr>
      <w:r>
        <w:t>Condition controlling the form of the development by requiring the RMs to abide by the terms of the Design Code</w:t>
      </w:r>
      <w:r w:rsidR="00E240FD">
        <w:t>.</w:t>
      </w:r>
    </w:p>
    <w:p w14:paraId="4CA4ADC6" w14:textId="77777777" w:rsidR="00E240FD" w:rsidRDefault="00E240FD" w:rsidP="00E240FD">
      <w:pPr>
        <w:pStyle w:val="ListParagraph"/>
      </w:pPr>
    </w:p>
    <w:p w14:paraId="6ECB49AD" w14:textId="4C89F271" w:rsidR="007A68B4" w:rsidRDefault="00E240FD" w:rsidP="00055319">
      <w:pPr>
        <w:pStyle w:val="ListParagraph"/>
        <w:numPr>
          <w:ilvl w:val="0"/>
          <w:numId w:val="8"/>
        </w:numPr>
        <w:spacing w:line="360" w:lineRule="auto"/>
        <w:jc w:val="both"/>
      </w:pPr>
      <w:r>
        <w:t xml:space="preserve">The Design Code containing mandatory requirements: see lists in </w:t>
      </w:r>
      <w:r w:rsidR="00A26350">
        <w:t xml:space="preserve">Mr Leonard’s Appendices, particularly his Appendix </w:t>
      </w:r>
      <w:r w:rsidR="00A26350">
        <w:rPr>
          <w:bCs w:val="0"/>
        </w:rPr>
        <w:t xml:space="preserve">B which collates all the references in the Design Code to way that residential amenity is protected by the Code’s stipulations. </w:t>
      </w:r>
    </w:p>
    <w:p w14:paraId="49AB656B" w14:textId="77777777" w:rsidR="007A68B4" w:rsidRDefault="007A68B4" w:rsidP="007A68B4">
      <w:pPr>
        <w:pStyle w:val="ListParagraph"/>
        <w:spacing w:line="360" w:lineRule="auto"/>
        <w:jc w:val="both"/>
      </w:pPr>
    </w:p>
    <w:p w14:paraId="6D13D68E" w14:textId="1F181223" w:rsidR="00074B2B" w:rsidRDefault="00074B2B" w:rsidP="00E46A5C">
      <w:pPr>
        <w:pStyle w:val="ListParagraph"/>
        <w:numPr>
          <w:ilvl w:val="0"/>
          <w:numId w:val="1"/>
        </w:numPr>
        <w:spacing w:line="360" w:lineRule="auto"/>
        <w:jc w:val="both"/>
      </w:pPr>
      <w:r>
        <w:t>There is no specific control over the balance between the amount of lab space and office space, but the PPs identify which have been designed (in outline) to cater for labs</w:t>
      </w:r>
      <w:r w:rsidR="001F0D29">
        <w:t xml:space="preserve">. As Mr O’Byrne said (in response to one of the Inspector’s questions on job densities associated with labs as opposed to offices), there is some porosity between the idea of lab and office because some </w:t>
      </w:r>
      <w:r w:rsidR="002405BE">
        <w:t xml:space="preserve">life science and R&amp;D research is primarily IT or AI based and wet lab space is not required; however there is a clear market demand </w:t>
      </w:r>
      <w:r w:rsidR="00C35D79">
        <w:t xml:space="preserve">(and premium in rent) </w:t>
      </w:r>
      <w:r w:rsidR="002405BE">
        <w:t>for wet labs, and therefore office space in the traditional sense is unlikely to represent the majority of the floorspace in due course</w:t>
      </w:r>
      <w:r w:rsidR="00C770D9">
        <w:t>; if anything, it is likely to be predominantly labs both wet and dry and related office space.</w:t>
      </w:r>
    </w:p>
    <w:p w14:paraId="7BCEE0C5" w14:textId="77777777" w:rsidR="00074B2B" w:rsidRDefault="00074B2B" w:rsidP="00074B2B">
      <w:pPr>
        <w:pStyle w:val="ListParagraph"/>
        <w:spacing w:line="360" w:lineRule="auto"/>
        <w:jc w:val="both"/>
      </w:pPr>
    </w:p>
    <w:p w14:paraId="2142F850" w14:textId="2D1AE4F9" w:rsidR="00CF21DC" w:rsidRDefault="009C1D24" w:rsidP="00E46A5C">
      <w:pPr>
        <w:pStyle w:val="ListParagraph"/>
        <w:numPr>
          <w:ilvl w:val="0"/>
          <w:numId w:val="1"/>
        </w:numPr>
        <w:spacing w:line="360" w:lineRule="auto"/>
        <w:jc w:val="both"/>
      </w:pPr>
      <w:r>
        <w:t>Mr Kaddish sets out in his evidence</w:t>
      </w:r>
      <w:r>
        <w:rPr>
          <w:rStyle w:val="FootnoteReference"/>
        </w:rPr>
        <w:footnoteReference w:id="5"/>
      </w:r>
      <w:r>
        <w:t xml:space="preserve"> the way that the </w:t>
      </w:r>
      <w:r w:rsidR="00411979">
        <w:t>application scheme came about. That narrative is relevant to how and why the scheme aligns with policy objectives at the local and national level.</w:t>
      </w:r>
    </w:p>
    <w:p w14:paraId="5264C094" w14:textId="77777777" w:rsidR="00411979" w:rsidRDefault="00411979" w:rsidP="00411979">
      <w:pPr>
        <w:pStyle w:val="ListParagraph"/>
      </w:pPr>
    </w:p>
    <w:p w14:paraId="25720CB3" w14:textId="77777777" w:rsidR="00B36178" w:rsidRDefault="00411979" w:rsidP="00E46A5C">
      <w:pPr>
        <w:pStyle w:val="ListParagraph"/>
        <w:numPr>
          <w:ilvl w:val="0"/>
          <w:numId w:val="1"/>
        </w:numPr>
        <w:spacing w:line="360" w:lineRule="auto"/>
        <w:jc w:val="both"/>
      </w:pPr>
      <w:r>
        <w:t xml:space="preserve">He recounts how </w:t>
      </w:r>
      <w:r w:rsidR="00CD047B" w:rsidRPr="00CD047B">
        <w:t>Railpen purchased the Site in September 2012 as a going-concern</w:t>
      </w:r>
      <w:r w:rsidR="00CD047B">
        <w:t xml:space="preserve">, with the intention of </w:t>
      </w:r>
      <w:r w:rsidR="00CD047B" w:rsidRPr="00CD047B">
        <w:t>operat</w:t>
      </w:r>
      <w:r w:rsidR="00CD047B">
        <w:t>ing</w:t>
      </w:r>
      <w:r w:rsidR="00CD047B" w:rsidRPr="00CD047B">
        <w:t xml:space="preserve"> the retail park as part of its wider property portfolio. </w:t>
      </w:r>
      <w:r w:rsidR="00383964">
        <w:t>However, things changed: t</w:t>
      </w:r>
      <w:r w:rsidR="00CD047B" w:rsidRPr="00CD047B">
        <w:t xml:space="preserve">here was a </w:t>
      </w:r>
      <w:r w:rsidR="00383964">
        <w:t>rapidly-</w:t>
      </w:r>
      <w:r w:rsidR="00CD047B" w:rsidRPr="00CD047B">
        <w:t>changing retail market</w:t>
      </w:r>
      <w:r w:rsidR="00383964">
        <w:t xml:space="preserve"> (w</w:t>
      </w:r>
      <w:r w:rsidR="00CD047B" w:rsidRPr="00CD047B">
        <w:t>ith a reduction in retailers, retailers looking to downsize their stores and the rise of internet shopping</w:t>
      </w:r>
      <w:r w:rsidR="00383964">
        <w:t>)</w:t>
      </w:r>
      <w:r w:rsidR="004A55E4">
        <w:t xml:space="preserve">, something about which </w:t>
      </w:r>
      <w:r w:rsidR="00CD047B" w:rsidRPr="00CD047B">
        <w:t>Mr O’Byrne</w:t>
      </w:r>
      <w:r w:rsidR="004A55E4">
        <w:t xml:space="preserve"> gives </w:t>
      </w:r>
      <w:r w:rsidR="00CD047B" w:rsidRPr="00CD047B">
        <w:t>evidence</w:t>
      </w:r>
      <w:r w:rsidR="004A55E4">
        <w:rPr>
          <w:rStyle w:val="FootnoteReference"/>
        </w:rPr>
        <w:footnoteReference w:id="6"/>
      </w:r>
      <w:r w:rsidR="00B36178">
        <w:t xml:space="preserve">: </w:t>
      </w:r>
      <w:r w:rsidR="00CD047B" w:rsidRPr="00CD047B">
        <w:t>online retail increased from a total share of retail sales of 10% in 2013 to 25% 2023. Th</w:t>
      </w:r>
      <w:r w:rsidR="00B36178">
        <w:t>ese factors</w:t>
      </w:r>
      <w:r w:rsidR="00CD047B" w:rsidRPr="00CD047B">
        <w:t xml:space="preserve"> resulted in lower yields</w:t>
      </w:r>
      <w:r w:rsidR="00B36178">
        <w:t xml:space="preserve"> from ageing stock</w:t>
      </w:r>
      <w:r w:rsidR="00CD047B" w:rsidRPr="00CD047B">
        <w:t xml:space="preserve"> set against higher commercial risks. </w:t>
      </w:r>
    </w:p>
    <w:p w14:paraId="235DE940" w14:textId="77777777" w:rsidR="00B36178" w:rsidRDefault="00B36178" w:rsidP="00B36178">
      <w:pPr>
        <w:pStyle w:val="ListParagraph"/>
      </w:pPr>
    </w:p>
    <w:p w14:paraId="5ECCD59A" w14:textId="77777777" w:rsidR="0089641D" w:rsidRDefault="00B36178" w:rsidP="00E46A5C">
      <w:pPr>
        <w:pStyle w:val="ListParagraph"/>
        <w:numPr>
          <w:ilvl w:val="0"/>
          <w:numId w:val="1"/>
        </w:numPr>
        <w:spacing w:line="360" w:lineRule="auto"/>
        <w:jc w:val="both"/>
      </w:pPr>
      <w:r>
        <w:t>Mr Kaddish details how th</w:t>
      </w:r>
      <w:r w:rsidR="00CD047B" w:rsidRPr="00CD047B">
        <w:t>is led to a portfolio review of the Site</w:t>
      </w:r>
      <w:r>
        <w:t xml:space="preserve">, and the identification of the </w:t>
      </w:r>
      <w:r w:rsidR="00CD047B" w:rsidRPr="00CD047B">
        <w:t>opportunity to redevelop</w:t>
      </w:r>
      <w:r w:rsidR="000F7F32">
        <w:t xml:space="preserve"> it. The Site is all </w:t>
      </w:r>
      <w:r w:rsidR="00CD047B" w:rsidRPr="00CD047B">
        <w:t xml:space="preserve">under Railpen’s single freehold ownership, </w:t>
      </w:r>
      <w:r w:rsidR="000F7F32">
        <w:t xml:space="preserve">and is large and well </w:t>
      </w:r>
      <w:r w:rsidR="00CD047B" w:rsidRPr="00CD047B">
        <w:t>allied in one of the few cities outside of London</w:t>
      </w:r>
      <w:r w:rsidR="000F7F32">
        <w:t>, as Mr Kaddish says,</w:t>
      </w:r>
      <w:r w:rsidR="00CD047B" w:rsidRPr="00CD047B">
        <w:t xml:space="preserve"> that has a strong enough context in which to have commercial confidence to redevelop at scale. </w:t>
      </w:r>
    </w:p>
    <w:p w14:paraId="732B5321" w14:textId="77777777" w:rsidR="0089641D" w:rsidRDefault="0089641D" w:rsidP="0089641D">
      <w:pPr>
        <w:pStyle w:val="ListParagraph"/>
      </w:pPr>
    </w:p>
    <w:p w14:paraId="23C3384A" w14:textId="77777777" w:rsidR="00BF481D" w:rsidRDefault="0089641D" w:rsidP="00E46A5C">
      <w:pPr>
        <w:pStyle w:val="ListParagraph"/>
        <w:numPr>
          <w:ilvl w:val="0"/>
          <w:numId w:val="1"/>
        </w:numPr>
        <w:spacing w:line="360" w:lineRule="auto"/>
        <w:jc w:val="both"/>
      </w:pPr>
      <w:r>
        <w:t xml:space="preserve">The uses relevant to the ideas for re-development </w:t>
      </w:r>
      <w:r w:rsidR="00DE64D3">
        <w:t>readily emerged from the commercial and policy context.   It is recognised locally and nationally that</w:t>
      </w:r>
      <w:r w:rsidR="00CD047B" w:rsidRPr="00CD047B">
        <w:t xml:space="preserve"> a large and resilient component of the Cambridge economy is its life science and knowledge</w:t>
      </w:r>
      <w:r w:rsidR="00DE64D3">
        <w:t xml:space="preserve"> </w:t>
      </w:r>
      <w:r w:rsidR="00CD047B" w:rsidRPr="00CD047B">
        <w:t xml:space="preserve">industry sector. The Site provides the ability to </w:t>
      </w:r>
      <w:r w:rsidR="00923BAF">
        <w:t>shape a scheme w</w:t>
      </w:r>
      <w:r w:rsidR="00CD047B" w:rsidRPr="00CD047B">
        <w:t>ith sufficient critical mass to create excellent facilities and amenities within a city location</w:t>
      </w:r>
      <w:r w:rsidR="00923BAF">
        <w:t xml:space="preserve"> and thereby create what Mr Kaddish called</w:t>
      </w:r>
      <w:r w:rsidR="00CD047B" w:rsidRPr="00CD047B">
        <w:t xml:space="preserve"> a rare, city centre commodity within the Cambridge commercial ecosystem</w:t>
      </w:r>
      <w:r w:rsidR="00BF481D">
        <w:t>.</w:t>
      </w:r>
    </w:p>
    <w:p w14:paraId="135341FB" w14:textId="77777777" w:rsidR="00BF481D" w:rsidRDefault="00BF481D" w:rsidP="00BF481D">
      <w:pPr>
        <w:pStyle w:val="ListParagraph"/>
      </w:pPr>
    </w:p>
    <w:p w14:paraId="47E81513" w14:textId="6B3C78CD" w:rsidR="003F3217" w:rsidRDefault="00CD047B" w:rsidP="00E46A5C">
      <w:pPr>
        <w:pStyle w:val="ListParagraph"/>
        <w:numPr>
          <w:ilvl w:val="0"/>
          <w:numId w:val="1"/>
        </w:numPr>
        <w:spacing w:line="360" w:lineRule="auto"/>
        <w:jc w:val="both"/>
      </w:pPr>
      <w:r w:rsidRPr="00CD047B">
        <w:t xml:space="preserve">In taking the decision to pursue </w:t>
      </w:r>
      <w:r w:rsidR="00BF481D">
        <w:t xml:space="preserve">the application scheme, </w:t>
      </w:r>
      <w:r w:rsidRPr="00CD047B">
        <w:t>Railpen</w:t>
      </w:r>
      <w:r w:rsidR="00B55714">
        <w:t xml:space="preserve"> </w:t>
      </w:r>
      <w:r w:rsidR="00BF481D">
        <w:t xml:space="preserve">has the </w:t>
      </w:r>
      <w:r w:rsidR="00827BAD">
        <w:t xml:space="preserve">commercial understanding and </w:t>
      </w:r>
      <w:r w:rsidRPr="00CD047B">
        <w:t xml:space="preserve">confidence </w:t>
      </w:r>
      <w:r w:rsidR="00BF481D">
        <w:t xml:space="preserve">borne of </w:t>
      </w:r>
      <w:r w:rsidR="001F0AA0">
        <w:t>its</w:t>
      </w:r>
      <w:r w:rsidRPr="00CD047B">
        <w:t xml:space="preserve"> track-record in development delivery and manag</w:t>
      </w:r>
      <w:r w:rsidR="00827BAD">
        <w:t>ement</w:t>
      </w:r>
      <w:r w:rsidR="00C57CC7">
        <w:t>, including within Cambridge</w:t>
      </w:r>
      <w:r w:rsidRPr="00CD047B">
        <w:t xml:space="preserve">. It </w:t>
      </w:r>
      <w:r w:rsidR="00C57CC7">
        <w:t>owns</w:t>
      </w:r>
      <w:r w:rsidRPr="00CD047B">
        <w:t xml:space="preserve"> further land and property interests in </w:t>
      </w:r>
      <w:r w:rsidR="00C57CC7">
        <w:t xml:space="preserve">the City </w:t>
      </w:r>
      <w:r w:rsidRPr="00CD047B">
        <w:t xml:space="preserve">including: Devonshire Gardens ‘Mill Yard’ (a development under construction a short walk from Cambridge Railway Station), for homes and workspace; and Botanic House (under construction for a major new office R&amp;D building adding to the Railway Station high-tech cluster). </w:t>
      </w:r>
    </w:p>
    <w:p w14:paraId="2D7D5E15" w14:textId="77777777" w:rsidR="003F3217" w:rsidRDefault="003F3217" w:rsidP="003F3217">
      <w:pPr>
        <w:pStyle w:val="ListParagraph"/>
      </w:pPr>
    </w:p>
    <w:p w14:paraId="26317510" w14:textId="43355862" w:rsidR="00411979" w:rsidRDefault="00CD047B" w:rsidP="00E46A5C">
      <w:pPr>
        <w:pStyle w:val="ListParagraph"/>
        <w:numPr>
          <w:ilvl w:val="0"/>
          <w:numId w:val="1"/>
        </w:numPr>
        <w:spacing w:line="360" w:lineRule="auto"/>
        <w:jc w:val="both"/>
      </w:pPr>
      <w:r w:rsidRPr="00CD047B">
        <w:t xml:space="preserve">The delivery strategy is to deliver the scheme in phases. </w:t>
      </w:r>
      <w:r w:rsidR="00827BAD">
        <w:t>Mr Kaddish gave evidence that a</w:t>
      </w:r>
      <w:r w:rsidRPr="00CD047B">
        <w:t>llied with the Beehive Centre proposals, the opportunity arose to purchase Cambridge Retail Park (CRP), which is located north to the opposite side of Coldham’s Lane</w:t>
      </w:r>
      <w:r w:rsidR="00827BAD">
        <w:t xml:space="preserve">. Railpen acquired CRP in </w:t>
      </w:r>
      <w:r w:rsidRPr="00CD047B">
        <w:t xml:space="preserve">November 2020. </w:t>
      </w:r>
      <w:r w:rsidR="00827BAD">
        <w:t xml:space="preserve">Whilst </w:t>
      </w:r>
      <w:r w:rsidRPr="00CD047B">
        <w:t>the changing retail market c</w:t>
      </w:r>
      <w:r w:rsidR="00827BAD">
        <w:t>annot</w:t>
      </w:r>
      <w:r w:rsidRPr="00CD047B">
        <w:t xml:space="preserve"> not support two adjacent retail parks, it could support one. </w:t>
      </w:r>
      <w:r w:rsidR="00827BAD">
        <w:t>So</w:t>
      </w:r>
      <w:r w:rsidR="001F0AA0">
        <w:t>,</w:t>
      </w:r>
      <w:r w:rsidR="00827BAD">
        <w:t xml:space="preserve"> w</w:t>
      </w:r>
      <w:r w:rsidRPr="00CD047B">
        <w:t>hile there is no planning policy requirement to replace the floorspace to be demolished or to relocate the retailers from the Beehive Centre, it makes sound commercial sense to relocate retailers, where possible and practical, onto Cambridge Retail Park to bolster its retail resilience and support investment into Cambridge Retail Park as a shopping destination.</w:t>
      </w:r>
      <w:r w:rsidR="00827BAD">
        <w:t xml:space="preserve"> I shall return to this below, but the inquiry has heard evidence that discussions to relocate important existing food and non-food retailers from the Site to the CRP </w:t>
      </w:r>
      <w:r w:rsidR="003003AF">
        <w:t>are well advanced.</w:t>
      </w:r>
    </w:p>
    <w:p w14:paraId="1C5A0317" w14:textId="77777777" w:rsidR="003003AF" w:rsidRDefault="003003AF" w:rsidP="003003AF">
      <w:pPr>
        <w:pStyle w:val="ListParagraph"/>
      </w:pPr>
    </w:p>
    <w:p w14:paraId="21F3ADA9" w14:textId="6A84A8EC" w:rsidR="003003AF" w:rsidRDefault="003003AF" w:rsidP="00E46A5C">
      <w:pPr>
        <w:pStyle w:val="ListParagraph"/>
        <w:numPr>
          <w:ilvl w:val="0"/>
          <w:numId w:val="1"/>
        </w:numPr>
        <w:spacing w:line="360" w:lineRule="auto"/>
        <w:jc w:val="both"/>
      </w:pPr>
      <w:r>
        <w:t xml:space="preserve">Once the </w:t>
      </w:r>
      <w:r w:rsidR="00DC0512">
        <w:t xml:space="preserve">essential ideas behind the scheme had been identified, a very extensive programme of work, including all the usual technical assessments as well as engagement with local stakeholders, began. </w:t>
      </w:r>
    </w:p>
    <w:p w14:paraId="3096CCB6" w14:textId="77777777" w:rsidR="009C4820" w:rsidRDefault="009C4820" w:rsidP="009C4820">
      <w:pPr>
        <w:pStyle w:val="ListParagraph"/>
      </w:pPr>
    </w:p>
    <w:p w14:paraId="4C77F24A" w14:textId="3630FACA" w:rsidR="009C4820" w:rsidRDefault="009C4820" w:rsidP="00E46A5C">
      <w:pPr>
        <w:pStyle w:val="ListParagraph"/>
        <w:numPr>
          <w:ilvl w:val="0"/>
          <w:numId w:val="1"/>
        </w:numPr>
        <w:spacing w:line="360" w:lineRule="auto"/>
        <w:jc w:val="both"/>
      </w:pPr>
      <w:r>
        <w:t xml:space="preserve">As Mr Kaddish set out, the process was highly collaborative until the very end </w:t>
      </w:r>
      <w:r w:rsidR="00C30DD0">
        <w:t xml:space="preserve">when the issue of residential amenity, </w:t>
      </w:r>
      <w:r w:rsidR="00BE617D">
        <w:t xml:space="preserve">including the way that </w:t>
      </w:r>
      <w:r w:rsidR="00C30DD0">
        <w:t xml:space="preserve">planning conditions and the Illustrative Scheme </w:t>
      </w:r>
      <w:r w:rsidR="00BE617D">
        <w:t xml:space="preserve">were viewed, </w:t>
      </w:r>
      <w:r w:rsidR="00C30DD0">
        <w:t xml:space="preserve">led the officers to recommend refusal. </w:t>
      </w:r>
      <w:r w:rsidR="00BE617D">
        <w:t>However, (particularly in the light of the current Council position) it is more important to focus on the key points set out in the PP</w:t>
      </w:r>
      <w:r w:rsidR="00BF634F">
        <w:t>A</w:t>
      </w:r>
      <w:r w:rsidR="00BF634F">
        <w:rPr>
          <w:rStyle w:val="FootnoteReference"/>
        </w:rPr>
        <w:footnoteReference w:id="7"/>
      </w:r>
      <w:r w:rsidR="00BF634F">
        <w:t xml:space="preserve"> which capture</w:t>
      </w:r>
      <w:r w:rsidR="00E56EC3">
        <w:t>s</w:t>
      </w:r>
      <w:r w:rsidR="00BF634F">
        <w:t xml:space="preserve"> the essence of why the scheme </w:t>
      </w:r>
      <w:r w:rsidR="007642AD">
        <w:t>brings such overall benefits; the joint agreed ‘Vision and Objectives’ as between the Applicant and the Council said this:</w:t>
      </w:r>
    </w:p>
    <w:p w14:paraId="7793B22A" w14:textId="77777777" w:rsidR="00FD2960" w:rsidRDefault="00FD2960" w:rsidP="00FD2960">
      <w:pPr>
        <w:pStyle w:val="ListParagraph"/>
      </w:pPr>
    </w:p>
    <w:p w14:paraId="797BDACC" w14:textId="77777777" w:rsidR="00E56EC3" w:rsidRPr="00CA4C6B" w:rsidRDefault="002D2050" w:rsidP="00FD2960">
      <w:pPr>
        <w:pStyle w:val="ListParagraph"/>
        <w:rPr>
          <w:i/>
          <w:iCs/>
        </w:rPr>
      </w:pPr>
      <w:r w:rsidRPr="00CA4C6B">
        <w:rPr>
          <w:i/>
          <w:iCs/>
        </w:rPr>
        <w:t xml:space="preserve">“The 7.05-hectare site represents a sizeable piece of land adjacent to the city centre currently given over to large format retail units. The redevelopment of such a site provides a rare opportunity to create a new and meaningful piece of urban design with a positive contribution to the city. </w:t>
      </w:r>
    </w:p>
    <w:p w14:paraId="68563391" w14:textId="77777777" w:rsidR="00E56EC3" w:rsidRPr="00CA4C6B" w:rsidRDefault="00E56EC3" w:rsidP="00FD2960">
      <w:pPr>
        <w:pStyle w:val="ListParagraph"/>
        <w:rPr>
          <w:i/>
          <w:iCs/>
        </w:rPr>
      </w:pPr>
    </w:p>
    <w:p w14:paraId="10AAC743" w14:textId="77777777" w:rsidR="00416014" w:rsidRPr="00CA4C6B" w:rsidRDefault="002D2050" w:rsidP="00FD2960">
      <w:pPr>
        <w:pStyle w:val="ListParagraph"/>
        <w:rPr>
          <w:i/>
          <w:iCs/>
        </w:rPr>
      </w:pPr>
      <w:r w:rsidRPr="00CA4C6B">
        <w:rPr>
          <w:i/>
          <w:iCs/>
        </w:rPr>
        <w:t xml:space="preserve">There is an identified need for high quality purpose-built technology and life science workplace buildings within Cambridge and the city centre. Located between the two railway stations and adjacent to the city centre, this site represents an ideal location to bring forward an urban scale proposal that would ensure the long-term sustainable use of the site. </w:t>
      </w:r>
    </w:p>
    <w:p w14:paraId="79582ABF" w14:textId="77777777" w:rsidR="00416014" w:rsidRPr="00CA4C6B" w:rsidRDefault="00416014" w:rsidP="00FD2960">
      <w:pPr>
        <w:pStyle w:val="ListParagraph"/>
        <w:rPr>
          <w:i/>
          <w:iCs/>
        </w:rPr>
      </w:pPr>
    </w:p>
    <w:p w14:paraId="58625A30" w14:textId="77777777" w:rsidR="00416014" w:rsidRPr="00CA4C6B" w:rsidRDefault="002D2050" w:rsidP="00FD2960">
      <w:pPr>
        <w:pStyle w:val="ListParagraph"/>
        <w:rPr>
          <w:i/>
          <w:iCs/>
        </w:rPr>
      </w:pPr>
      <w:r w:rsidRPr="00CA4C6B">
        <w:rPr>
          <w:i/>
          <w:iCs/>
        </w:rPr>
        <w:t xml:space="preserve">Sustainability is a key driver for the project with aspirations for the project to have exemplar environmental credentials including all buildings achieving at least BREEAM Excellent, a substantial biodiversity net-gain and the adoption of an energy strategy, that utilises a fabric first approach, to enable a holistic response to climate emergency. </w:t>
      </w:r>
    </w:p>
    <w:p w14:paraId="1321F92A" w14:textId="77777777" w:rsidR="00416014" w:rsidRPr="00CA4C6B" w:rsidRDefault="00416014" w:rsidP="00FD2960">
      <w:pPr>
        <w:pStyle w:val="ListParagraph"/>
        <w:rPr>
          <w:i/>
          <w:iCs/>
        </w:rPr>
      </w:pPr>
    </w:p>
    <w:p w14:paraId="27A03E4D" w14:textId="77777777" w:rsidR="00416014" w:rsidRPr="00CA4C6B" w:rsidRDefault="002D2050" w:rsidP="00FD2960">
      <w:pPr>
        <w:pStyle w:val="ListParagraph"/>
        <w:rPr>
          <w:i/>
          <w:iCs/>
        </w:rPr>
      </w:pPr>
      <w:r w:rsidRPr="00CA4C6B">
        <w:rPr>
          <w:i/>
          <w:iCs/>
        </w:rPr>
        <w:t xml:space="preserve">The key objectives for the site include: </w:t>
      </w:r>
    </w:p>
    <w:p w14:paraId="3D900AE6" w14:textId="77777777" w:rsidR="00416014" w:rsidRPr="00CA4C6B" w:rsidRDefault="00416014" w:rsidP="00FD2960">
      <w:pPr>
        <w:pStyle w:val="ListParagraph"/>
        <w:rPr>
          <w:i/>
          <w:iCs/>
        </w:rPr>
      </w:pPr>
    </w:p>
    <w:p w14:paraId="25DD4F14" w14:textId="77777777" w:rsidR="00416014" w:rsidRPr="00CA4C6B" w:rsidRDefault="002D2050" w:rsidP="00FD2960">
      <w:pPr>
        <w:pStyle w:val="ListParagraph"/>
        <w:rPr>
          <w:i/>
          <w:iCs/>
        </w:rPr>
      </w:pPr>
      <w:r w:rsidRPr="00CA4C6B">
        <w:rPr>
          <w:i/>
          <w:iCs/>
        </w:rPr>
        <w:t xml:space="preserve">• Deliver an exemplar of sustainable development and help the City meet its climate change objectives; </w:t>
      </w:r>
    </w:p>
    <w:p w14:paraId="57DFA7D6" w14:textId="77777777" w:rsidR="00416014" w:rsidRPr="00CA4C6B" w:rsidRDefault="002D2050" w:rsidP="00FD2960">
      <w:pPr>
        <w:pStyle w:val="ListParagraph"/>
        <w:rPr>
          <w:i/>
          <w:iCs/>
        </w:rPr>
      </w:pPr>
      <w:r w:rsidRPr="00CA4C6B">
        <w:rPr>
          <w:i/>
          <w:iCs/>
        </w:rPr>
        <w:t xml:space="preserve">• Repair the urban fabric of this part of the City, integrate it into its surroundings; “green” the site and provide substantial areas of high quality, multifunctional public realm; </w:t>
      </w:r>
    </w:p>
    <w:p w14:paraId="5ABA499E" w14:textId="77777777" w:rsidR="00416014" w:rsidRPr="00CA4C6B" w:rsidRDefault="002D2050" w:rsidP="00FD2960">
      <w:pPr>
        <w:pStyle w:val="ListParagraph"/>
        <w:rPr>
          <w:i/>
          <w:iCs/>
        </w:rPr>
      </w:pPr>
      <w:r w:rsidRPr="00CA4C6B">
        <w:rPr>
          <w:i/>
          <w:iCs/>
        </w:rPr>
        <w:t xml:space="preserve">• Deliver an accessible, exceptional quality cycle and pedestrian environment; </w:t>
      </w:r>
    </w:p>
    <w:p w14:paraId="23021A0A" w14:textId="77777777" w:rsidR="0040498A" w:rsidRPr="00CA4C6B" w:rsidRDefault="002D2050" w:rsidP="00FD2960">
      <w:pPr>
        <w:pStyle w:val="ListParagraph"/>
        <w:rPr>
          <w:i/>
          <w:iCs/>
        </w:rPr>
      </w:pPr>
      <w:r w:rsidRPr="00CA4C6B">
        <w:rPr>
          <w:i/>
          <w:iCs/>
        </w:rPr>
        <w:t xml:space="preserve">• Optimise development on this brownfield site and deliver high quality buildings and spaces for the knowledge industry in a town centre environment; and </w:t>
      </w:r>
    </w:p>
    <w:p w14:paraId="227F8D1B" w14:textId="012E4367" w:rsidR="00FD2960" w:rsidRPr="00CA4C6B" w:rsidRDefault="002D2050" w:rsidP="00FD2960">
      <w:pPr>
        <w:pStyle w:val="ListParagraph"/>
        <w:rPr>
          <w:i/>
          <w:iCs/>
        </w:rPr>
      </w:pPr>
      <w:r w:rsidRPr="00CA4C6B">
        <w:rPr>
          <w:i/>
          <w:iCs/>
        </w:rPr>
        <w:t>• Enhance and diversify the range of employment opportunities on site.”</w:t>
      </w:r>
    </w:p>
    <w:p w14:paraId="1A6DC5EC" w14:textId="77777777" w:rsidR="00FD2960" w:rsidRDefault="00FD2960" w:rsidP="00CA4C6B"/>
    <w:p w14:paraId="6FD5C92D" w14:textId="2E9BEA8C" w:rsidR="00FD2960" w:rsidRDefault="00CA4C6B" w:rsidP="00E46A5C">
      <w:pPr>
        <w:pStyle w:val="ListParagraph"/>
        <w:numPr>
          <w:ilvl w:val="0"/>
          <w:numId w:val="1"/>
        </w:numPr>
        <w:spacing w:line="360" w:lineRule="auto"/>
        <w:jc w:val="both"/>
      </w:pPr>
      <w:r>
        <w:t xml:space="preserve">As the evidence before the inquiry shows, these aims and objectives </w:t>
      </w:r>
      <w:r w:rsidR="00D616BD">
        <w:t>are fully secured through the application scheme</w:t>
      </w:r>
      <w:r w:rsidR="00AE4363">
        <w:t>, which went through several key stages including a major review in 2024 leading to an amended application.</w:t>
      </w:r>
    </w:p>
    <w:p w14:paraId="788270B7" w14:textId="1F62CF59" w:rsidR="00916DE3" w:rsidRDefault="00916DE3" w:rsidP="00916DE3">
      <w:pPr>
        <w:pStyle w:val="ListParagraph"/>
        <w:spacing w:line="360" w:lineRule="auto"/>
        <w:jc w:val="both"/>
      </w:pPr>
    </w:p>
    <w:p w14:paraId="65162C1E" w14:textId="2531EFC8" w:rsidR="00916DE3" w:rsidRDefault="00916DE3" w:rsidP="00E46A5C">
      <w:pPr>
        <w:pStyle w:val="ListParagraph"/>
        <w:numPr>
          <w:ilvl w:val="0"/>
          <w:numId w:val="1"/>
        </w:numPr>
        <w:spacing w:line="360" w:lineRule="auto"/>
        <w:jc w:val="both"/>
      </w:pPr>
      <w:r>
        <w:t>That was recognised by officers in the report to committee</w:t>
      </w:r>
      <w:r w:rsidR="00AE4363">
        <w:rPr>
          <w:rStyle w:val="FootnoteReference"/>
        </w:rPr>
        <w:footnoteReference w:id="8"/>
      </w:r>
      <w:r w:rsidR="00AE4363">
        <w:t>:</w:t>
      </w:r>
    </w:p>
    <w:p w14:paraId="5D842C05" w14:textId="77777777" w:rsidR="00AE4363" w:rsidRDefault="00AE4363" w:rsidP="00AE4363">
      <w:pPr>
        <w:pStyle w:val="ListParagraph"/>
      </w:pPr>
    </w:p>
    <w:p w14:paraId="1C8E2341" w14:textId="1C775086" w:rsidR="00AE4363" w:rsidRDefault="00AE4363" w:rsidP="00AE4363">
      <w:pPr>
        <w:pStyle w:val="ListParagraph"/>
      </w:pPr>
      <w:r>
        <w:rPr>
          <w:i/>
          <w:iCs/>
        </w:rPr>
        <w:t>“The applicants have taken significant strides in amending the scheme to address masterplan, massing and height issues. This has included reductions in the height and modulation of buildings, the provision of better defined and larger open spaces and improved walking and cycling routes. This would all be controlled through a well-developed Design Code that would inform and guide reserved matters. These revisions have sought to overcome/mitigate officers’ concerns regarding matters of townscape and heritage, and whilst these harms remain, it must be recognised that to accommodate the aspirations of Government policy to deliver meaningful growth, particularly in economic terms on brownfield sites such as this, that a significant degree of change and densification of the site is inevitable. To this extent, whilst special attention and great weight must be given to the preservation of the setting of the City’s heritage assets and that harm to the City’s wider townscape setting must be carefully considered, officers are of the view that the overall public benefits of the scheme outweigh the heritage and townscape harms identified.</w:t>
      </w:r>
    </w:p>
    <w:p w14:paraId="42C6657D" w14:textId="77777777" w:rsidR="00AE4363" w:rsidRDefault="00AE4363" w:rsidP="00AE4363">
      <w:pPr>
        <w:pStyle w:val="ListParagraph"/>
      </w:pPr>
    </w:p>
    <w:p w14:paraId="66E15879" w14:textId="77777777" w:rsidR="00AE4363" w:rsidRDefault="00AE4363" w:rsidP="00AE4363">
      <w:pPr>
        <w:pStyle w:val="ListParagraph"/>
      </w:pPr>
    </w:p>
    <w:p w14:paraId="5D2CD86A" w14:textId="77777777" w:rsidR="00AE4363" w:rsidRDefault="00AE4363" w:rsidP="00AE4363">
      <w:pPr>
        <w:pStyle w:val="ListParagraph"/>
      </w:pPr>
    </w:p>
    <w:p w14:paraId="19409440" w14:textId="5D0223E0" w:rsidR="00AE4363" w:rsidRDefault="00AE4363" w:rsidP="00E46A5C">
      <w:pPr>
        <w:pStyle w:val="ListParagraph"/>
        <w:numPr>
          <w:ilvl w:val="0"/>
          <w:numId w:val="1"/>
        </w:numPr>
        <w:spacing w:line="360" w:lineRule="auto"/>
        <w:jc w:val="both"/>
      </w:pPr>
      <w:r>
        <w:t>In the light of those overarching matters, I turn to the detailed points under each main issue.</w:t>
      </w:r>
    </w:p>
    <w:p w14:paraId="6AF08514" w14:textId="77777777" w:rsidR="00E46A5C" w:rsidRDefault="00E46A5C" w:rsidP="00E46A5C">
      <w:pPr>
        <w:pStyle w:val="ListParagraph"/>
      </w:pPr>
    </w:p>
    <w:p w14:paraId="19C24257" w14:textId="77777777" w:rsidR="00AE4363" w:rsidRDefault="00AE4363" w:rsidP="00E46A5C">
      <w:pPr>
        <w:pStyle w:val="ListParagraph"/>
      </w:pPr>
    </w:p>
    <w:p w14:paraId="29A01C51" w14:textId="77777777" w:rsidR="00AE4363" w:rsidRDefault="00AE4363" w:rsidP="00E46A5C">
      <w:pPr>
        <w:pStyle w:val="ListParagraph"/>
      </w:pPr>
    </w:p>
    <w:p w14:paraId="0FBDE8C6" w14:textId="77777777" w:rsidR="00456027" w:rsidRDefault="00456027" w:rsidP="00E46A5C">
      <w:pPr>
        <w:pStyle w:val="ListParagraph"/>
      </w:pPr>
    </w:p>
    <w:p w14:paraId="6CCA2945" w14:textId="77777777" w:rsidR="00456027" w:rsidRDefault="00456027" w:rsidP="00E46A5C">
      <w:pPr>
        <w:pStyle w:val="ListParagraph"/>
      </w:pPr>
    </w:p>
    <w:p w14:paraId="27CEFF08" w14:textId="77777777" w:rsidR="00456027" w:rsidRDefault="00456027" w:rsidP="00E46A5C">
      <w:pPr>
        <w:pStyle w:val="ListParagraph"/>
      </w:pPr>
    </w:p>
    <w:p w14:paraId="6026959E" w14:textId="77777777" w:rsidR="00E46A5C" w:rsidRDefault="00E46A5C" w:rsidP="00E46A5C">
      <w:pPr>
        <w:pStyle w:val="ListParagraph"/>
      </w:pPr>
    </w:p>
    <w:p w14:paraId="43F3264E" w14:textId="632D60F0" w:rsidR="00E46A5C" w:rsidRPr="00E46A5C" w:rsidRDefault="000F611C" w:rsidP="00E46A5C">
      <w:pPr>
        <w:pStyle w:val="ListParagraph"/>
        <w:rPr>
          <w:b/>
          <w:bCs w:val="0"/>
        </w:rPr>
      </w:pPr>
      <w:r>
        <w:rPr>
          <w:b/>
          <w:bCs w:val="0"/>
        </w:rPr>
        <w:t>Issue 1: building a strong competitive economy</w:t>
      </w:r>
    </w:p>
    <w:p w14:paraId="0D87E619" w14:textId="77777777" w:rsidR="00E46A5C" w:rsidRDefault="00E46A5C" w:rsidP="00E46A5C">
      <w:pPr>
        <w:pStyle w:val="ListParagraph"/>
      </w:pPr>
    </w:p>
    <w:p w14:paraId="6DC0342E" w14:textId="77777777" w:rsidR="00E46A5C" w:rsidRDefault="00E46A5C" w:rsidP="00E46A5C">
      <w:pPr>
        <w:pStyle w:val="ListParagraph"/>
      </w:pPr>
    </w:p>
    <w:p w14:paraId="35EE6367" w14:textId="0FCB3EAD" w:rsidR="000F3EB5" w:rsidRPr="000F3EB5" w:rsidRDefault="000F3EB5" w:rsidP="00E46A5C">
      <w:pPr>
        <w:pStyle w:val="ListParagraph"/>
        <w:rPr>
          <w:i/>
          <w:iCs/>
        </w:rPr>
      </w:pPr>
      <w:r>
        <w:rPr>
          <w:i/>
          <w:iCs/>
        </w:rPr>
        <w:t>The position is agreed</w:t>
      </w:r>
    </w:p>
    <w:p w14:paraId="5C0B6EEC" w14:textId="77777777" w:rsidR="000F3EB5" w:rsidRDefault="000F3EB5" w:rsidP="00E46A5C">
      <w:pPr>
        <w:pStyle w:val="ListParagraph"/>
      </w:pPr>
    </w:p>
    <w:p w14:paraId="03D0B2F3" w14:textId="77777777" w:rsidR="00F2192D" w:rsidRDefault="00665B31" w:rsidP="00F2192D">
      <w:pPr>
        <w:pStyle w:val="ListParagraph"/>
        <w:numPr>
          <w:ilvl w:val="0"/>
          <w:numId w:val="1"/>
        </w:numPr>
        <w:spacing w:line="360" w:lineRule="auto"/>
        <w:jc w:val="both"/>
      </w:pPr>
      <w:r>
        <w:t>The principle of development is agreed as between the main parties</w:t>
      </w:r>
      <w:r w:rsidR="003E4BF9">
        <w:t>, which contains the following</w:t>
      </w:r>
      <w:r w:rsidR="00543011">
        <w:rPr>
          <w:rStyle w:val="FootnoteReference"/>
        </w:rPr>
        <w:footnoteReference w:id="9"/>
      </w:r>
      <w:r w:rsidR="003E4BF9">
        <w:t xml:space="preserve">: </w:t>
      </w:r>
      <w:r w:rsidR="003E4BF9" w:rsidRPr="003E4BF9">
        <w:rPr>
          <w:i/>
          <w:iCs/>
        </w:rPr>
        <w:t>“</w:t>
      </w:r>
      <w:r w:rsidR="00C43298">
        <w:rPr>
          <w:i/>
          <w:iCs/>
        </w:rPr>
        <w:t>[t]</w:t>
      </w:r>
      <w:r w:rsidR="003E4BF9" w:rsidRPr="003E4BF9">
        <w:rPr>
          <w:i/>
          <w:iCs/>
        </w:rPr>
        <w:t>he principle of development is agreed between the Applicant and the LPA, including the comprehensive redevelopment of the Site and the mix of uses set out in the Outline Scheme”</w:t>
      </w:r>
      <w:r w:rsidR="00F2192D">
        <w:t>.</w:t>
      </w:r>
    </w:p>
    <w:p w14:paraId="2583F513" w14:textId="77777777" w:rsidR="00F2192D" w:rsidRDefault="00F2192D" w:rsidP="00F2192D">
      <w:pPr>
        <w:pStyle w:val="ListParagraph"/>
        <w:spacing w:line="360" w:lineRule="auto"/>
        <w:jc w:val="both"/>
      </w:pPr>
    </w:p>
    <w:p w14:paraId="31E4A425" w14:textId="5DF9D616" w:rsidR="007244CF" w:rsidRDefault="007A145C" w:rsidP="00F2192D">
      <w:pPr>
        <w:pStyle w:val="ListParagraph"/>
        <w:numPr>
          <w:ilvl w:val="0"/>
          <w:numId w:val="1"/>
        </w:numPr>
        <w:spacing w:line="360" w:lineRule="auto"/>
        <w:jc w:val="both"/>
      </w:pPr>
      <w:r>
        <w:t xml:space="preserve">Specifically, it is agreed that the scheme </w:t>
      </w:r>
      <w:r w:rsidR="002C27AC">
        <w:t>complies with policies aimed at building a strong competitive economy; the parties agree</w:t>
      </w:r>
      <w:r w:rsidR="00F2192D">
        <w:rPr>
          <w:rStyle w:val="FootnoteReference"/>
        </w:rPr>
        <w:footnoteReference w:id="10"/>
      </w:r>
      <w:r w:rsidR="002C27AC">
        <w:t xml:space="preserve"> that</w:t>
      </w:r>
      <w:r w:rsidR="002C27AC" w:rsidRPr="002C27AC">
        <w:t xml:space="preserve"> </w:t>
      </w:r>
      <w:r w:rsidR="00F2192D">
        <w:t>“</w:t>
      </w:r>
      <w:r w:rsidR="002C27AC" w:rsidRPr="00F2192D">
        <w:rPr>
          <w:i/>
          <w:iCs/>
        </w:rPr>
        <w:t>the Proposals are consistent with national Government planning policies set out in NPPF Chapter 6.</w:t>
      </w:r>
      <w:r w:rsidR="00F2192D" w:rsidRPr="00F2192D">
        <w:rPr>
          <w:i/>
          <w:iCs/>
        </w:rPr>
        <w:t>”</w:t>
      </w:r>
    </w:p>
    <w:p w14:paraId="1CAEDA23" w14:textId="77777777" w:rsidR="00F2192D" w:rsidRDefault="00F2192D" w:rsidP="00F2192D">
      <w:pPr>
        <w:pStyle w:val="ListParagraph"/>
      </w:pPr>
    </w:p>
    <w:p w14:paraId="528A3F65" w14:textId="18CCAEF4" w:rsidR="00F2192D" w:rsidRDefault="00F2192D" w:rsidP="00F2192D">
      <w:pPr>
        <w:pStyle w:val="ListParagraph"/>
        <w:numPr>
          <w:ilvl w:val="0"/>
          <w:numId w:val="1"/>
        </w:numPr>
        <w:spacing w:line="360" w:lineRule="auto"/>
        <w:jc w:val="both"/>
      </w:pPr>
      <w:r>
        <w:t xml:space="preserve">That is </w:t>
      </w:r>
      <w:r w:rsidR="00157916">
        <w:t xml:space="preserve">because they would (a) meet identified needs and (b) give raise to a </w:t>
      </w:r>
      <w:r w:rsidR="000F3EB5">
        <w:t xml:space="preserve">very substantial </w:t>
      </w:r>
      <w:r w:rsidR="00157916">
        <w:t>range of economic benefits which sound lo</w:t>
      </w:r>
      <w:r w:rsidR="000F3EB5">
        <w:t>cally and nationally.</w:t>
      </w:r>
    </w:p>
    <w:p w14:paraId="5C7706ED" w14:textId="77777777" w:rsidR="000F3EB5" w:rsidRDefault="000F3EB5" w:rsidP="000F3EB5">
      <w:pPr>
        <w:pStyle w:val="ListParagraph"/>
      </w:pPr>
    </w:p>
    <w:p w14:paraId="34415CA9" w14:textId="77777777" w:rsidR="000F3EB5" w:rsidRDefault="000F3EB5" w:rsidP="000F3EB5">
      <w:pPr>
        <w:pStyle w:val="ListParagraph"/>
      </w:pPr>
    </w:p>
    <w:p w14:paraId="0B0B3093" w14:textId="77777777" w:rsidR="000F3EB5" w:rsidRDefault="000F3EB5" w:rsidP="000F3EB5">
      <w:pPr>
        <w:pStyle w:val="ListParagraph"/>
      </w:pPr>
    </w:p>
    <w:p w14:paraId="5A7044A1" w14:textId="3FB307CA" w:rsidR="000F3EB5" w:rsidRPr="000F3EB5" w:rsidRDefault="000F3EB5" w:rsidP="000F3EB5">
      <w:pPr>
        <w:pStyle w:val="ListParagraph"/>
        <w:rPr>
          <w:i/>
          <w:iCs/>
        </w:rPr>
      </w:pPr>
      <w:r>
        <w:rPr>
          <w:i/>
          <w:iCs/>
        </w:rPr>
        <w:t xml:space="preserve">The need for the scheme </w:t>
      </w:r>
    </w:p>
    <w:p w14:paraId="149EC275" w14:textId="77777777" w:rsidR="000F3EB5" w:rsidRDefault="000F3EB5" w:rsidP="000F3EB5">
      <w:pPr>
        <w:pStyle w:val="ListParagraph"/>
      </w:pPr>
    </w:p>
    <w:p w14:paraId="6B4BF807" w14:textId="4A29BEDB" w:rsidR="000F3EB5" w:rsidRDefault="00B66661" w:rsidP="00F2192D">
      <w:pPr>
        <w:pStyle w:val="ListParagraph"/>
        <w:numPr>
          <w:ilvl w:val="0"/>
          <w:numId w:val="1"/>
        </w:numPr>
        <w:spacing w:line="360" w:lineRule="auto"/>
        <w:jc w:val="both"/>
      </w:pPr>
      <w:r>
        <w:t>There is agreement between the main parties that the scheme would meet unmet needs in Cambridge</w:t>
      </w:r>
      <w:r w:rsidR="003875BD">
        <w:t>. The committee report says this (also set out in the Statement of Common Ground as embodying the agreement on this point</w:t>
      </w:r>
      <w:r w:rsidR="003875BD">
        <w:rPr>
          <w:rStyle w:val="FootnoteReference"/>
        </w:rPr>
        <w:footnoteReference w:id="11"/>
      </w:r>
      <w:r w:rsidR="003875BD">
        <w:t>)</w:t>
      </w:r>
      <w:r w:rsidR="0013137B">
        <w:t>:</w:t>
      </w:r>
    </w:p>
    <w:p w14:paraId="0F720F9E" w14:textId="59E6A3E7" w:rsidR="0013137B" w:rsidRDefault="0013137B" w:rsidP="0013137B">
      <w:pPr>
        <w:spacing w:line="360" w:lineRule="auto"/>
        <w:ind w:left="360"/>
        <w:jc w:val="both"/>
      </w:pPr>
    </w:p>
    <w:p w14:paraId="281E0998" w14:textId="77777777" w:rsidR="0070555D" w:rsidRPr="005C785F" w:rsidRDefault="0070555D" w:rsidP="0013137B">
      <w:pPr>
        <w:spacing w:line="360" w:lineRule="auto"/>
        <w:ind w:left="720"/>
        <w:jc w:val="both"/>
        <w:rPr>
          <w:i/>
          <w:iCs/>
        </w:rPr>
      </w:pPr>
      <w:r>
        <w:t>“</w:t>
      </w:r>
      <w:r w:rsidRPr="005C785F">
        <w:rPr>
          <w:i/>
          <w:iCs/>
        </w:rPr>
        <w:t>The following statement within the Committee Report (Paragraphs 13.46-13.48) is an agreed statement:</w:t>
      </w:r>
    </w:p>
    <w:p w14:paraId="21E778BB" w14:textId="5F9B96E2" w:rsidR="0070555D" w:rsidRPr="0070555D" w:rsidRDefault="0070555D" w:rsidP="0013137B">
      <w:pPr>
        <w:spacing w:line="360" w:lineRule="auto"/>
        <w:ind w:left="720"/>
        <w:jc w:val="both"/>
        <w:rPr>
          <w:i/>
          <w:iCs/>
        </w:rPr>
      </w:pPr>
      <w:r w:rsidRPr="0070555D">
        <w:t xml:space="preserve"> </w:t>
      </w:r>
      <w:r w:rsidRPr="0070555D">
        <w:rPr>
          <w:i/>
          <w:iCs/>
        </w:rPr>
        <w:t xml:space="preserve">“13.46 Based on the latest sector evidence available, the need for additional office and lab floorspace in the City area (particularly) has been demonstrated and therefore, it is crucial that adequate supply continues to meet the evolving requirements of the life sciences and ICT sectors. The recent speech made by Rt Hon Rachel Reeves (Chancellor of the Exchequer) on 29 January 2025 in respect of ‘kickstarting economic growth’ has reaffirmed the national importance of the Oxford - Cambridge Growth Corridor and in particular the opportunity to harness the potential for growing its reputation for science and technology, research and development. </w:t>
      </w:r>
    </w:p>
    <w:p w14:paraId="102E69C0" w14:textId="77777777" w:rsidR="0070555D" w:rsidRPr="0070555D" w:rsidRDefault="0070555D" w:rsidP="0013137B">
      <w:pPr>
        <w:spacing w:line="360" w:lineRule="auto"/>
        <w:ind w:left="720"/>
        <w:jc w:val="both"/>
        <w:rPr>
          <w:i/>
          <w:iCs/>
        </w:rPr>
      </w:pPr>
    </w:p>
    <w:p w14:paraId="462B107F" w14:textId="266BEEF0" w:rsidR="0013137B" w:rsidRPr="0070555D" w:rsidRDefault="0070555D" w:rsidP="0013137B">
      <w:pPr>
        <w:spacing w:line="360" w:lineRule="auto"/>
        <w:ind w:left="720"/>
        <w:jc w:val="both"/>
        <w:rPr>
          <w:i/>
          <w:iCs/>
        </w:rPr>
      </w:pPr>
      <w:r w:rsidRPr="0070555D">
        <w:rPr>
          <w:i/>
          <w:iCs/>
        </w:rPr>
        <w:t>13.47 In spatial terms, this edge of city centre site would represent a major (if not rare) opportunity to accommodate some of the sector’s identified current and long-term needs, whilst also allowing sustainable change and efficient renewal of previously developed land to be embraced</w:t>
      </w:r>
      <w:r>
        <w:rPr>
          <w:i/>
          <w:iCs/>
        </w:rPr>
        <w:t>”</w:t>
      </w:r>
      <w:r w:rsidRPr="0070555D">
        <w:rPr>
          <w:i/>
          <w:iCs/>
        </w:rPr>
        <w:t>.</w:t>
      </w:r>
    </w:p>
    <w:p w14:paraId="035F5A69" w14:textId="77777777" w:rsidR="0013137B" w:rsidRDefault="0013137B" w:rsidP="0013137B">
      <w:pPr>
        <w:spacing w:line="360" w:lineRule="auto"/>
        <w:ind w:left="360"/>
        <w:jc w:val="both"/>
      </w:pPr>
    </w:p>
    <w:p w14:paraId="402CDB76" w14:textId="49F76A18" w:rsidR="0013137B" w:rsidRDefault="000A4AB6" w:rsidP="00F2192D">
      <w:pPr>
        <w:pStyle w:val="ListParagraph"/>
        <w:numPr>
          <w:ilvl w:val="0"/>
          <w:numId w:val="1"/>
        </w:numPr>
        <w:spacing w:line="360" w:lineRule="auto"/>
        <w:jc w:val="both"/>
      </w:pPr>
      <w:r>
        <w:t xml:space="preserve">There is </w:t>
      </w:r>
      <w:r w:rsidR="00E91DDC">
        <w:t xml:space="preserve">agreement between the main parties that the </w:t>
      </w:r>
      <w:r w:rsidR="005B2D4B">
        <w:t xml:space="preserve">application scheme would therefore comply with the relevant policies in the development plan and in chapter 6 </w:t>
      </w:r>
      <w:r w:rsidR="0033096F">
        <w:t>of the NPPF:</w:t>
      </w:r>
    </w:p>
    <w:p w14:paraId="34D0B502" w14:textId="3ACBF346" w:rsidR="0033096F" w:rsidRDefault="0033096F" w:rsidP="0033096F">
      <w:pPr>
        <w:pStyle w:val="ListParagraph"/>
        <w:spacing w:line="360" w:lineRule="auto"/>
        <w:jc w:val="both"/>
      </w:pPr>
    </w:p>
    <w:p w14:paraId="0EF0FA09" w14:textId="77777777" w:rsidR="0033096F" w:rsidRPr="0033096F" w:rsidRDefault="0033096F" w:rsidP="0033096F">
      <w:pPr>
        <w:pStyle w:val="ListParagraph"/>
        <w:spacing w:line="360" w:lineRule="auto"/>
        <w:jc w:val="both"/>
        <w:rPr>
          <w:i/>
          <w:iCs/>
        </w:rPr>
      </w:pPr>
      <w:r w:rsidRPr="0033096F">
        <w:rPr>
          <w:i/>
          <w:iCs/>
        </w:rPr>
        <w:t xml:space="preserve">“The Proposed Development would create a new research and innovation employment quarter on a Site that comprises previously-developed land (PDL) in a well-located, accessible edge of centre location within the city. The Proposals would contribute towards the current identified need for employment floorspace, including wet/dry laboratories and offices. </w:t>
      </w:r>
    </w:p>
    <w:p w14:paraId="322D9064" w14:textId="77777777" w:rsidR="0033096F" w:rsidRPr="0033096F" w:rsidRDefault="0033096F" w:rsidP="0033096F">
      <w:pPr>
        <w:pStyle w:val="ListParagraph"/>
        <w:spacing w:line="360" w:lineRule="auto"/>
        <w:jc w:val="both"/>
        <w:rPr>
          <w:i/>
          <w:iCs/>
        </w:rPr>
      </w:pPr>
    </w:p>
    <w:p w14:paraId="0E4979F6" w14:textId="77777777" w:rsidR="0033096F" w:rsidRPr="0033096F" w:rsidRDefault="0033096F" w:rsidP="0033096F">
      <w:pPr>
        <w:pStyle w:val="ListParagraph"/>
        <w:spacing w:line="360" w:lineRule="auto"/>
        <w:jc w:val="both"/>
        <w:rPr>
          <w:i/>
          <w:iCs/>
        </w:rPr>
      </w:pPr>
      <w:r w:rsidRPr="0033096F">
        <w:rPr>
          <w:i/>
          <w:iCs/>
        </w:rPr>
        <w:t xml:space="preserve">7.13 The Greater Cambridge area is a strategic location for life science and technology research sectors, in both national and international terms. </w:t>
      </w:r>
    </w:p>
    <w:p w14:paraId="15A494DC" w14:textId="77777777" w:rsidR="0033096F" w:rsidRPr="0033096F" w:rsidRDefault="0033096F" w:rsidP="0033096F">
      <w:pPr>
        <w:pStyle w:val="ListParagraph"/>
        <w:spacing w:line="360" w:lineRule="auto"/>
        <w:jc w:val="both"/>
        <w:rPr>
          <w:i/>
          <w:iCs/>
        </w:rPr>
      </w:pPr>
    </w:p>
    <w:p w14:paraId="2C525C15" w14:textId="77777777" w:rsidR="0033096F" w:rsidRPr="0033096F" w:rsidRDefault="0033096F" w:rsidP="0033096F">
      <w:pPr>
        <w:pStyle w:val="ListParagraph"/>
        <w:spacing w:line="360" w:lineRule="auto"/>
        <w:jc w:val="both"/>
        <w:rPr>
          <w:i/>
          <w:iCs/>
        </w:rPr>
      </w:pPr>
      <w:r w:rsidRPr="0033096F">
        <w:rPr>
          <w:i/>
          <w:iCs/>
        </w:rPr>
        <w:t xml:space="preserve">7.14 The Proposed Development is compliant with Local Plan Policy 2 (Spatial strategy of the location of employment development) and Policy 40 (Development and expansion of business space). It also accords with the objectives of NPPF Chapter 6 (Building a strong, competitive economy), the Proposed Development, particularly: </w:t>
      </w:r>
    </w:p>
    <w:p w14:paraId="0DDD5217" w14:textId="77777777" w:rsidR="0033096F" w:rsidRPr="0033096F" w:rsidRDefault="0033096F" w:rsidP="0033096F">
      <w:pPr>
        <w:pStyle w:val="ListParagraph"/>
        <w:spacing w:line="360" w:lineRule="auto"/>
        <w:jc w:val="both"/>
        <w:rPr>
          <w:i/>
          <w:iCs/>
        </w:rPr>
      </w:pPr>
    </w:p>
    <w:p w14:paraId="4AD4DBB1" w14:textId="77777777" w:rsidR="0033096F" w:rsidRPr="0033096F" w:rsidRDefault="0033096F" w:rsidP="0033096F">
      <w:pPr>
        <w:pStyle w:val="ListParagraph"/>
        <w:spacing w:line="360" w:lineRule="auto"/>
        <w:jc w:val="both"/>
        <w:rPr>
          <w:i/>
          <w:iCs/>
        </w:rPr>
      </w:pPr>
      <w:r w:rsidRPr="0033096F">
        <w:rPr>
          <w:i/>
          <w:iCs/>
        </w:rPr>
        <w:t xml:space="preserve">● Paragraph 86 part (c): “pay particular regard to facilitating development to meet the needs of a modern economy, including by identifying suitable locations for uses such as laboratories, gigafactories, data centres, digital infrastructure, freight and logistics”; and </w:t>
      </w:r>
    </w:p>
    <w:p w14:paraId="1A752084" w14:textId="77777777" w:rsidR="0033096F" w:rsidRPr="0033096F" w:rsidRDefault="0033096F" w:rsidP="0033096F">
      <w:pPr>
        <w:pStyle w:val="ListParagraph"/>
        <w:spacing w:line="360" w:lineRule="auto"/>
        <w:jc w:val="both"/>
        <w:rPr>
          <w:i/>
          <w:iCs/>
        </w:rPr>
      </w:pPr>
    </w:p>
    <w:p w14:paraId="739FC7C0" w14:textId="62FCE1F3" w:rsidR="0033096F" w:rsidRPr="0033096F" w:rsidRDefault="0033096F" w:rsidP="0033096F">
      <w:pPr>
        <w:pStyle w:val="ListParagraph"/>
        <w:spacing w:line="360" w:lineRule="auto"/>
        <w:jc w:val="both"/>
        <w:rPr>
          <w:i/>
          <w:iCs/>
        </w:rPr>
      </w:pPr>
      <w:r w:rsidRPr="0033096F">
        <w:rPr>
          <w:i/>
          <w:iCs/>
        </w:rPr>
        <w:t>● Paragraph 87 part (a): “clusters or networks of knowledge and data-driven, creative or high technology industries; and for new, expanded or upgraded facilities and infrastructure that are needed to support the growth of these industries (including data centres and grid connections)”</w:t>
      </w:r>
    </w:p>
    <w:p w14:paraId="650E25F8" w14:textId="77777777" w:rsidR="0033096F" w:rsidRDefault="0033096F" w:rsidP="0033096F">
      <w:pPr>
        <w:pStyle w:val="ListParagraph"/>
        <w:spacing w:line="360" w:lineRule="auto"/>
        <w:jc w:val="both"/>
      </w:pPr>
    </w:p>
    <w:p w14:paraId="5227ADB9" w14:textId="77777777" w:rsidR="0033096F" w:rsidRDefault="0033096F" w:rsidP="0033096F">
      <w:pPr>
        <w:pStyle w:val="ListParagraph"/>
        <w:spacing w:line="360" w:lineRule="auto"/>
        <w:jc w:val="both"/>
      </w:pPr>
    </w:p>
    <w:p w14:paraId="7D1D9123" w14:textId="0C96C3D4" w:rsidR="0033096F" w:rsidRDefault="004D30FF" w:rsidP="00F2192D">
      <w:pPr>
        <w:pStyle w:val="ListParagraph"/>
        <w:numPr>
          <w:ilvl w:val="0"/>
          <w:numId w:val="1"/>
        </w:numPr>
        <w:spacing w:line="360" w:lineRule="auto"/>
        <w:jc w:val="both"/>
      </w:pPr>
      <w:r>
        <w:t xml:space="preserve">Before leaving the issue of </w:t>
      </w:r>
      <w:r w:rsidR="00DA3E1F">
        <w:t xml:space="preserve">need, I note that the weighting of benefits as between the planning witnesses for the Applicant and Council </w:t>
      </w:r>
      <w:r w:rsidR="00453553">
        <w:t>is</w:t>
      </w:r>
      <w:r w:rsidR="00DA3E1F">
        <w:t xml:space="preserve"> organised differently. Not much may turn on it, but as set out in the Applicant’s Rebuttal document</w:t>
      </w:r>
      <w:r w:rsidR="004F52C0">
        <w:rPr>
          <w:rStyle w:val="FootnoteReference"/>
        </w:rPr>
        <w:footnoteReference w:id="12"/>
      </w:r>
      <w:r w:rsidR="00892A64">
        <w:t xml:space="preserve">, there is no specific ascription of weight by Mr Martin to the way that the scheme would meet unmet needs, whereas Mr Kaddish accords that </w:t>
      </w:r>
      <w:r w:rsidR="00664E4E">
        <w:t>great weight.</w:t>
      </w:r>
    </w:p>
    <w:p w14:paraId="15D4D7CE" w14:textId="4B21DE9B" w:rsidR="00664E4E" w:rsidRDefault="00664E4E" w:rsidP="00664E4E">
      <w:pPr>
        <w:pStyle w:val="ListParagraph"/>
        <w:spacing w:line="360" w:lineRule="auto"/>
        <w:jc w:val="both"/>
      </w:pPr>
    </w:p>
    <w:p w14:paraId="59DCF546" w14:textId="2D42F67F" w:rsidR="00664E4E" w:rsidRDefault="00664E4E" w:rsidP="00F2192D">
      <w:pPr>
        <w:pStyle w:val="ListParagraph"/>
        <w:numPr>
          <w:ilvl w:val="0"/>
          <w:numId w:val="1"/>
        </w:numPr>
        <w:spacing w:line="360" w:lineRule="auto"/>
        <w:jc w:val="both"/>
      </w:pPr>
      <w:r>
        <w:t xml:space="preserve">Some weight – a matter for the Inspector and the Secretary of State in the end – surely should be accorded to the fact that the scheme is targeted at, and would meet, specific identified needs in Cambridge. </w:t>
      </w:r>
      <w:r w:rsidR="00FD540C">
        <w:t>Mr Martin’s position may reflect the minor difference of opinion about the quantitative need for offices and labs that one finds when comparing the way the two witnesses refer to the recent Iceni reports in Cambridge.</w:t>
      </w:r>
    </w:p>
    <w:p w14:paraId="315DD582" w14:textId="77777777" w:rsidR="00FD540C" w:rsidRDefault="00FD540C" w:rsidP="00FD540C">
      <w:pPr>
        <w:pStyle w:val="ListParagraph"/>
      </w:pPr>
    </w:p>
    <w:p w14:paraId="346F6AB8" w14:textId="3914BD9E" w:rsidR="00FD540C" w:rsidRDefault="00FD540C" w:rsidP="00F2192D">
      <w:pPr>
        <w:pStyle w:val="ListParagraph"/>
        <w:numPr>
          <w:ilvl w:val="0"/>
          <w:numId w:val="1"/>
        </w:numPr>
        <w:spacing w:line="360" w:lineRule="auto"/>
        <w:jc w:val="both"/>
      </w:pPr>
      <w:r>
        <w:t xml:space="preserve">Mr O’Byrne explained why he considers that the Iceni report is probably over-conservative when assessing how much quantitative need for offices and labs there is. </w:t>
      </w:r>
      <w:r w:rsidR="003D5BF3">
        <w:t>I summary, his points (set out again in evidence in chief) are:</w:t>
      </w:r>
    </w:p>
    <w:p w14:paraId="58F25FC3" w14:textId="77777777" w:rsidR="003D5BF3" w:rsidRDefault="003D5BF3" w:rsidP="003D5BF3">
      <w:pPr>
        <w:pStyle w:val="ListParagraph"/>
      </w:pPr>
    </w:p>
    <w:p w14:paraId="35087010" w14:textId="5A61E881" w:rsidR="003D5BF3" w:rsidRDefault="00E46BB9" w:rsidP="00487530">
      <w:pPr>
        <w:pStyle w:val="ListParagraph"/>
        <w:numPr>
          <w:ilvl w:val="0"/>
          <w:numId w:val="2"/>
        </w:numPr>
        <w:spacing w:line="360" w:lineRule="auto"/>
        <w:jc w:val="both"/>
      </w:pPr>
      <w:r>
        <w:t>Iceni predicts</w:t>
      </w:r>
      <w:r>
        <w:rPr>
          <w:rStyle w:val="FootnoteReference"/>
        </w:rPr>
        <w:footnoteReference w:id="13"/>
      </w:r>
      <w:r w:rsidR="00487530">
        <w:t xml:space="preserve"> office need to 2041 at 289,700 sq m, R&amp;D at 600,000 sq m and industrial/warehousing at 200,000 sq m.</w:t>
      </w:r>
    </w:p>
    <w:p w14:paraId="13AB6AE0" w14:textId="170A162A" w:rsidR="00487530" w:rsidRDefault="00487530" w:rsidP="00487530">
      <w:pPr>
        <w:pStyle w:val="ListParagraph"/>
        <w:spacing w:line="360" w:lineRule="auto"/>
        <w:ind w:left="1080"/>
        <w:jc w:val="both"/>
      </w:pPr>
    </w:p>
    <w:p w14:paraId="2F1CDC7D" w14:textId="110FBF4C" w:rsidR="00487530" w:rsidRDefault="00F72045" w:rsidP="00487530">
      <w:pPr>
        <w:pStyle w:val="ListParagraph"/>
        <w:numPr>
          <w:ilvl w:val="0"/>
          <w:numId w:val="2"/>
        </w:numPr>
        <w:spacing w:line="360" w:lineRule="auto"/>
        <w:jc w:val="both"/>
      </w:pPr>
      <w:r>
        <w:t>This does not account for the scale of the Government’s ambitions, referable over the same period, for growth in these sectors in Cambridge.</w:t>
      </w:r>
    </w:p>
    <w:p w14:paraId="551287EC" w14:textId="77777777" w:rsidR="00F72045" w:rsidRDefault="00F72045" w:rsidP="00F72045">
      <w:pPr>
        <w:pStyle w:val="ListParagraph"/>
      </w:pPr>
    </w:p>
    <w:p w14:paraId="0B303FF6" w14:textId="101C55B0" w:rsidR="00F72045" w:rsidRDefault="003E4BD9" w:rsidP="00487530">
      <w:pPr>
        <w:pStyle w:val="ListParagraph"/>
        <w:numPr>
          <w:ilvl w:val="0"/>
          <w:numId w:val="2"/>
        </w:numPr>
        <w:spacing w:line="360" w:lineRule="auto"/>
        <w:jc w:val="both"/>
      </w:pPr>
      <w:r>
        <w:t>The underlying job forecast (which is a major driver of the floorspace estimates) appear conservative</w:t>
      </w:r>
      <w:r w:rsidR="00D76DCD">
        <w:t xml:space="preserve">. The Cambridge and Peterborough Independent Economic Review was for growth of </w:t>
      </w:r>
      <w:r w:rsidR="007940E6">
        <w:t xml:space="preserve">115,500 jobs over the period 2021-2041; but </w:t>
      </w:r>
      <w:r w:rsidR="007E2303">
        <w:t xml:space="preserve">Iceni only expect 63,800 ( number that the University of Cambridge’s </w:t>
      </w:r>
      <w:r w:rsidR="00A42D7A">
        <w:t>Futures Modelling team felt to be “modest”</w:t>
      </w:r>
      <w:r w:rsidR="00A42D7A">
        <w:rPr>
          <w:rStyle w:val="FootnoteReference"/>
        </w:rPr>
        <w:footnoteReference w:id="14"/>
      </w:r>
      <w:r w:rsidR="007E2303">
        <w:t>.</w:t>
      </w:r>
    </w:p>
    <w:p w14:paraId="3CDF9713" w14:textId="77777777" w:rsidR="007855C4" w:rsidRDefault="007855C4" w:rsidP="007855C4">
      <w:pPr>
        <w:pStyle w:val="ListParagraph"/>
      </w:pPr>
    </w:p>
    <w:p w14:paraId="11F69C87" w14:textId="61DFA26E" w:rsidR="007855C4" w:rsidRDefault="007855C4" w:rsidP="00487530">
      <w:pPr>
        <w:pStyle w:val="ListParagraph"/>
        <w:numPr>
          <w:ilvl w:val="0"/>
          <w:numId w:val="2"/>
        </w:numPr>
        <w:spacing w:line="360" w:lineRule="auto"/>
        <w:jc w:val="both"/>
      </w:pPr>
      <w:r>
        <w:t xml:space="preserve">The higher prediction is corroborated by the University’s Centre for Business Research which indicates an annual job growth rate of 4% between 2018 and 2024, significantly higher than the </w:t>
      </w:r>
      <w:r w:rsidR="008A7079">
        <w:t xml:space="preserve">1.5% prediction by ONS, on whose work Iceni relies, since it forms a key calibrating input into the </w:t>
      </w:r>
      <w:r w:rsidR="00C24E3D">
        <w:t>Cambridge Econometrics work Iceni uses</w:t>
      </w:r>
      <w:r w:rsidR="00C24E3D">
        <w:rPr>
          <w:rStyle w:val="FootnoteReference"/>
        </w:rPr>
        <w:footnoteReference w:id="15"/>
      </w:r>
      <w:r w:rsidR="00C24E3D">
        <w:t>.</w:t>
      </w:r>
    </w:p>
    <w:p w14:paraId="5969568E" w14:textId="77777777" w:rsidR="00C24E3D" w:rsidRDefault="00C24E3D" w:rsidP="00C24E3D">
      <w:pPr>
        <w:pStyle w:val="ListParagraph"/>
      </w:pPr>
    </w:p>
    <w:p w14:paraId="16BFDC0B" w14:textId="4DC7BF7B" w:rsidR="00C24E3D" w:rsidRDefault="00C24E3D" w:rsidP="00487530">
      <w:pPr>
        <w:pStyle w:val="ListParagraph"/>
        <w:numPr>
          <w:ilvl w:val="0"/>
          <w:numId w:val="2"/>
        </w:numPr>
        <w:spacing w:line="360" w:lineRule="auto"/>
        <w:jc w:val="both"/>
      </w:pPr>
      <w:r>
        <w:t xml:space="preserve">The Iceni work does not account for suppressed demand. That there is such demand is </w:t>
      </w:r>
      <w:r w:rsidR="00365B1C">
        <w:t>undisputable on the data</w:t>
      </w:r>
      <w:r w:rsidR="00365B1C">
        <w:rPr>
          <w:rStyle w:val="FootnoteReference"/>
        </w:rPr>
        <w:footnoteReference w:id="16"/>
      </w:r>
      <w:r w:rsidR="00365B1C">
        <w:t>.</w:t>
      </w:r>
    </w:p>
    <w:p w14:paraId="27EAEADB" w14:textId="77777777" w:rsidR="00CF2042" w:rsidRDefault="00CF2042" w:rsidP="00CF2042">
      <w:pPr>
        <w:pStyle w:val="ListParagraph"/>
      </w:pPr>
    </w:p>
    <w:p w14:paraId="74A89550" w14:textId="3BC97E2F" w:rsidR="003F10C7" w:rsidRDefault="003F10C7" w:rsidP="003F10C7">
      <w:pPr>
        <w:pStyle w:val="ListParagraph"/>
        <w:numPr>
          <w:ilvl w:val="0"/>
          <w:numId w:val="2"/>
        </w:numPr>
        <w:spacing w:line="360" w:lineRule="auto"/>
        <w:jc w:val="both"/>
      </w:pPr>
      <w:r>
        <w:t>The need to replace stock is not taken into account to the extent that would properly reflect the need to incorporate a replacement allowance</w:t>
      </w:r>
      <w:r>
        <w:rPr>
          <w:rStyle w:val="FootnoteReference"/>
        </w:rPr>
        <w:footnoteReference w:id="17"/>
      </w:r>
      <w:r>
        <w:t>.</w:t>
      </w:r>
    </w:p>
    <w:p w14:paraId="175E2D6A" w14:textId="77777777" w:rsidR="003F10C7" w:rsidRDefault="003F10C7" w:rsidP="003F10C7">
      <w:pPr>
        <w:pStyle w:val="ListParagraph"/>
        <w:spacing w:line="360" w:lineRule="auto"/>
        <w:ind w:left="1080"/>
        <w:jc w:val="both"/>
      </w:pPr>
    </w:p>
    <w:p w14:paraId="1E06D19F" w14:textId="6CB2D81C" w:rsidR="003D5BF3" w:rsidRDefault="00CF2042" w:rsidP="006D0BED">
      <w:pPr>
        <w:pStyle w:val="ListParagraph"/>
        <w:numPr>
          <w:ilvl w:val="0"/>
          <w:numId w:val="2"/>
        </w:numPr>
        <w:spacing w:line="360" w:lineRule="auto"/>
        <w:jc w:val="both"/>
      </w:pPr>
      <w:r>
        <w:t>On the supply side, the pipeline is overstated because the numbers relied on by Iceni</w:t>
      </w:r>
      <w:r>
        <w:rPr>
          <w:rStyle w:val="FootnoteReference"/>
        </w:rPr>
        <w:footnoteReference w:id="18"/>
      </w:r>
      <w:r>
        <w:t xml:space="preserve"> </w:t>
      </w:r>
      <w:r w:rsidR="003F10C7">
        <w:t xml:space="preserve">do not adequately consider practical delivery challenges. The data shows a large gap between </w:t>
      </w:r>
      <w:r w:rsidR="0088579B">
        <w:t xml:space="preserve">permissions and sites which are being built out. Of the space with full RM consent, </w:t>
      </w:r>
      <w:r w:rsidR="00A207D9">
        <w:t>only 19% was under construction in March 2024</w:t>
      </w:r>
      <w:r w:rsidR="006233E3">
        <w:t xml:space="preserve">; over-reliance on consented floorspace is even more precarious, Mr O’Byrne argues, when the pipeline contains so many very large sites. </w:t>
      </w:r>
    </w:p>
    <w:p w14:paraId="728FA5D7" w14:textId="77777777" w:rsidR="003D5BF3" w:rsidRDefault="003D5BF3" w:rsidP="003D5BF3">
      <w:pPr>
        <w:pStyle w:val="ListParagraph"/>
      </w:pPr>
    </w:p>
    <w:p w14:paraId="05FD13EF" w14:textId="6E7B37BF" w:rsidR="003D5BF3" w:rsidRDefault="006D0BED" w:rsidP="00F2192D">
      <w:pPr>
        <w:pStyle w:val="ListParagraph"/>
        <w:numPr>
          <w:ilvl w:val="0"/>
          <w:numId w:val="1"/>
        </w:numPr>
        <w:spacing w:line="360" w:lineRule="auto"/>
        <w:jc w:val="both"/>
      </w:pPr>
      <w:r>
        <w:t>Mr O</w:t>
      </w:r>
      <w:r w:rsidR="00BA116E">
        <w:t>’Byrne’s approach to the quantitative need for the scheme should be preferred to the figures from Iceni that are quoted by Mr Martin. Indeed, the overall point made by Mr O’Byrne is entirely consistent with the following summary in the officers’ report to committee:</w:t>
      </w:r>
    </w:p>
    <w:p w14:paraId="66E1DCD7" w14:textId="138A1C6F" w:rsidR="00BA116E" w:rsidRDefault="00BA116E" w:rsidP="00BA116E">
      <w:pPr>
        <w:pStyle w:val="ListParagraph"/>
        <w:spacing w:line="360" w:lineRule="auto"/>
        <w:jc w:val="both"/>
      </w:pPr>
    </w:p>
    <w:p w14:paraId="2E862B9E" w14:textId="77777777" w:rsidR="00870E09" w:rsidRPr="00B375CD" w:rsidRDefault="00870E09" w:rsidP="00BA116E">
      <w:pPr>
        <w:pStyle w:val="ListParagraph"/>
        <w:spacing w:line="360" w:lineRule="auto"/>
        <w:jc w:val="both"/>
        <w:rPr>
          <w:i/>
          <w:iCs/>
        </w:rPr>
      </w:pPr>
      <w:r w:rsidRPr="00B375CD">
        <w:rPr>
          <w:i/>
          <w:iCs/>
        </w:rPr>
        <w:t xml:space="preserve">“…there is also a shared understanding in that there are (and will continue to be) significant challenges in achieving a balance between the needs of the life science and ICT sectors and the relative availability of suitable sites that can be delivered across the Cambridge region. Therefore, adopting a flexible approach to decision making (on a case-by-case) basis will be necessary so that a resilient and flexible supply pipeline can be provided throughout the different economic cycles. </w:t>
      </w:r>
    </w:p>
    <w:p w14:paraId="08B33AEE" w14:textId="77777777" w:rsidR="00870E09" w:rsidRPr="00B375CD" w:rsidRDefault="00870E09" w:rsidP="00BA116E">
      <w:pPr>
        <w:pStyle w:val="ListParagraph"/>
        <w:spacing w:line="360" w:lineRule="auto"/>
        <w:jc w:val="both"/>
        <w:rPr>
          <w:i/>
          <w:iCs/>
        </w:rPr>
      </w:pPr>
    </w:p>
    <w:p w14:paraId="14AB2C6B" w14:textId="77777777" w:rsidR="00870E09" w:rsidRPr="00B375CD" w:rsidRDefault="00870E09" w:rsidP="00BA116E">
      <w:pPr>
        <w:pStyle w:val="ListParagraph"/>
        <w:spacing w:line="360" w:lineRule="auto"/>
        <w:jc w:val="both"/>
        <w:rPr>
          <w:i/>
          <w:iCs/>
        </w:rPr>
      </w:pPr>
      <w:r w:rsidRPr="00B375CD">
        <w:rPr>
          <w:i/>
          <w:iCs/>
        </w:rPr>
        <w:t xml:space="preserve">In the instance of this planning application, it is considered that the proposals would assist in meeting some of the anticipated (and growing) needs that are currently being identified, and especially for the following reasons: </w:t>
      </w:r>
    </w:p>
    <w:p w14:paraId="24D2D156" w14:textId="77777777" w:rsidR="00870E09" w:rsidRPr="00B375CD" w:rsidRDefault="00870E09" w:rsidP="00BA116E">
      <w:pPr>
        <w:pStyle w:val="ListParagraph"/>
        <w:spacing w:line="360" w:lineRule="auto"/>
        <w:jc w:val="both"/>
        <w:rPr>
          <w:i/>
          <w:iCs/>
        </w:rPr>
      </w:pPr>
    </w:p>
    <w:p w14:paraId="3EBE622B" w14:textId="77777777" w:rsidR="00870E09" w:rsidRPr="00B375CD" w:rsidRDefault="00870E09" w:rsidP="00BA116E">
      <w:pPr>
        <w:pStyle w:val="ListParagraph"/>
        <w:spacing w:line="360" w:lineRule="auto"/>
        <w:jc w:val="both"/>
        <w:rPr>
          <w:i/>
          <w:iCs/>
        </w:rPr>
      </w:pPr>
      <w:r w:rsidRPr="00B375CD">
        <w:rPr>
          <w:i/>
          <w:iCs/>
        </w:rPr>
        <w:t xml:space="preserve">• Demand for high quality office space is likely to outstrip short-term supply in the City; </w:t>
      </w:r>
    </w:p>
    <w:p w14:paraId="3DB5F5F0" w14:textId="77777777" w:rsidR="00870E09" w:rsidRPr="00B375CD" w:rsidRDefault="00870E09" w:rsidP="00BA116E">
      <w:pPr>
        <w:pStyle w:val="ListParagraph"/>
        <w:spacing w:line="360" w:lineRule="auto"/>
        <w:jc w:val="both"/>
        <w:rPr>
          <w:i/>
          <w:iCs/>
        </w:rPr>
      </w:pPr>
      <w:r w:rsidRPr="00B375CD">
        <w:rPr>
          <w:i/>
          <w:iCs/>
        </w:rPr>
        <w:t xml:space="preserve">• Lab space availability is currently underprovided in the City; and </w:t>
      </w:r>
    </w:p>
    <w:p w14:paraId="4D7D4003" w14:textId="77777777" w:rsidR="00870E09" w:rsidRPr="00B375CD" w:rsidRDefault="00870E09" w:rsidP="00BA116E">
      <w:pPr>
        <w:pStyle w:val="ListParagraph"/>
        <w:spacing w:line="360" w:lineRule="auto"/>
        <w:jc w:val="both"/>
        <w:rPr>
          <w:i/>
          <w:iCs/>
        </w:rPr>
      </w:pPr>
      <w:r w:rsidRPr="00B375CD">
        <w:rPr>
          <w:i/>
          <w:iCs/>
        </w:rPr>
        <w:t xml:space="preserve">• Start-up and scale-up space remains acutely underprovided across the Cambridge region. </w:t>
      </w:r>
    </w:p>
    <w:p w14:paraId="767A286D" w14:textId="77777777" w:rsidR="00870E09" w:rsidRPr="00B375CD" w:rsidRDefault="00870E09" w:rsidP="00BA116E">
      <w:pPr>
        <w:pStyle w:val="ListParagraph"/>
        <w:spacing w:line="360" w:lineRule="auto"/>
        <w:jc w:val="both"/>
        <w:rPr>
          <w:i/>
          <w:iCs/>
        </w:rPr>
      </w:pPr>
    </w:p>
    <w:p w14:paraId="03D4ECE5" w14:textId="590D837D" w:rsidR="00BA116E" w:rsidRPr="00B375CD" w:rsidRDefault="00870E09" w:rsidP="00BA116E">
      <w:pPr>
        <w:pStyle w:val="ListParagraph"/>
        <w:spacing w:line="360" w:lineRule="auto"/>
        <w:jc w:val="both"/>
        <w:rPr>
          <w:i/>
          <w:iCs/>
        </w:rPr>
      </w:pPr>
      <w:r w:rsidRPr="00B375CD">
        <w:rPr>
          <w:i/>
          <w:iCs/>
        </w:rPr>
        <w:t>The current outline planning application through its scale, design and edge of centre location, provides an important opportunity to secure an identified need for office and lab floorspace in the City. Supporting the proposals in this instance recognises the inherent challenges in delivering physically available and viable floorspace in the short to medium including the contribution it can make in order to maintain the Cambridge region as a national and global destination for life sciences and ICT research in the much longer term.”</w:t>
      </w:r>
    </w:p>
    <w:p w14:paraId="54BEDEA4" w14:textId="77777777" w:rsidR="00456027" w:rsidRDefault="00456027" w:rsidP="00BA116E">
      <w:pPr>
        <w:pStyle w:val="ListParagraph"/>
        <w:spacing w:line="360" w:lineRule="auto"/>
        <w:jc w:val="both"/>
        <w:rPr>
          <w:i/>
          <w:iCs/>
        </w:rPr>
      </w:pPr>
    </w:p>
    <w:p w14:paraId="1F62F67B" w14:textId="77777777" w:rsidR="00456027" w:rsidRDefault="00456027" w:rsidP="00BA116E">
      <w:pPr>
        <w:pStyle w:val="ListParagraph"/>
        <w:spacing w:line="360" w:lineRule="auto"/>
        <w:jc w:val="both"/>
        <w:rPr>
          <w:i/>
          <w:iCs/>
        </w:rPr>
      </w:pPr>
    </w:p>
    <w:p w14:paraId="3F4785C4" w14:textId="39702C5E" w:rsidR="00BA116E" w:rsidRPr="00B375CD" w:rsidRDefault="00B375CD" w:rsidP="00BA116E">
      <w:pPr>
        <w:pStyle w:val="ListParagraph"/>
        <w:spacing w:line="360" w:lineRule="auto"/>
        <w:jc w:val="both"/>
        <w:rPr>
          <w:i/>
          <w:iCs/>
        </w:rPr>
      </w:pPr>
      <w:r>
        <w:rPr>
          <w:i/>
          <w:iCs/>
        </w:rPr>
        <w:t>Economic Benefits</w:t>
      </w:r>
    </w:p>
    <w:p w14:paraId="7530B9CB" w14:textId="77777777" w:rsidR="00BA116E" w:rsidRDefault="00BA116E" w:rsidP="00BA116E">
      <w:pPr>
        <w:pStyle w:val="ListParagraph"/>
        <w:spacing w:line="360" w:lineRule="auto"/>
        <w:jc w:val="both"/>
      </w:pPr>
    </w:p>
    <w:p w14:paraId="2A5A0F52" w14:textId="60685D8E" w:rsidR="00BA116E" w:rsidRDefault="00B375CD" w:rsidP="00F2192D">
      <w:pPr>
        <w:pStyle w:val="ListParagraph"/>
        <w:numPr>
          <w:ilvl w:val="0"/>
          <w:numId w:val="1"/>
        </w:numPr>
        <w:spacing w:line="360" w:lineRule="auto"/>
        <w:jc w:val="both"/>
      </w:pPr>
      <w:r>
        <w:t xml:space="preserve">There is very little if any difference between the main parties on the extensive benefits that the scheme would bring in economic terms. Mr O’Byrne’s evidence is a reliable summary. </w:t>
      </w:r>
      <w:r w:rsidR="00FB4453">
        <w:t>H</w:t>
      </w:r>
      <w:r w:rsidR="00F72956">
        <w:t>e sees the scheme as:</w:t>
      </w:r>
    </w:p>
    <w:p w14:paraId="07D15D8D" w14:textId="47D06A28" w:rsidR="00FB4453" w:rsidRDefault="00FB4453" w:rsidP="00FB4453">
      <w:pPr>
        <w:pStyle w:val="ListParagraph"/>
        <w:spacing w:line="360" w:lineRule="auto"/>
        <w:jc w:val="both"/>
      </w:pPr>
    </w:p>
    <w:p w14:paraId="72708798" w14:textId="77777777" w:rsidR="00BE5EDA" w:rsidRDefault="00F304E6" w:rsidP="00BE5EDA">
      <w:pPr>
        <w:pStyle w:val="ListParagraph"/>
        <w:numPr>
          <w:ilvl w:val="0"/>
          <w:numId w:val="3"/>
        </w:numPr>
        <w:spacing w:line="360" w:lineRule="auto"/>
        <w:jc w:val="both"/>
      </w:pPr>
      <w:r w:rsidRPr="00F72956">
        <w:rPr>
          <w:b/>
          <w:bCs w:val="0"/>
        </w:rPr>
        <w:t>Securing investment and talent</w:t>
      </w:r>
      <w:r w:rsidRPr="00F304E6">
        <w:t xml:space="preserve"> – providing high quality, well located R&amp;D spaces ensures Cambridge continues to attract global businesses, supporting local and national economic growth. </w:t>
      </w:r>
    </w:p>
    <w:p w14:paraId="6CCB1511" w14:textId="77777777" w:rsidR="00BE5EDA" w:rsidRDefault="00BE5EDA" w:rsidP="00BE5EDA">
      <w:pPr>
        <w:pStyle w:val="ListParagraph"/>
        <w:spacing w:line="360" w:lineRule="auto"/>
        <w:ind w:left="1440"/>
        <w:jc w:val="both"/>
      </w:pPr>
    </w:p>
    <w:p w14:paraId="707C87A7" w14:textId="0A4E07DD" w:rsidR="00BE5EDA" w:rsidRDefault="00F304E6" w:rsidP="00BE5EDA">
      <w:pPr>
        <w:pStyle w:val="ListParagraph"/>
        <w:numPr>
          <w:ilvl w:val="0"/>
          <w:numId w:val="3"/>
        </w:numPr>
        <w:spacing w:line="360" w:lineRule="auto"/>
        <w:jc w:val="both"/>
      </w:pPr>
      <w:r w:rsidRPr="00F72956">
        <w:rPr>
          <w:b/>
          <w:bCs w:val="0"/>
        </w:rPr>
        <w:t>Supporting jobs and skills</w:t>
      </w:r>
      <w:r w:rsidRPr="00F304E6">
        <w:t xml:space="preserve"> – the Proposed Development will deliver around 7,130 net additional jobs</w:t>
      </w:r>
      <w:r w:rsidR="002968A0">
        <w:rPr>
          <w:rStyle w:val="FootnoteReference"/>
        </w:rPr>
        <w:footnoteReference w:id="19"/>
      </w:r>
      <w:r w:rsidRPr="00F304E6">
        <w:t xml:space="preserve">, including opportunities in emerging technologies and life sciences. The dedicated Employment and Skills Strategy, featuring a dedicated STEM educational space, proactive local outreach, Real Living Wage commitments where practicable, and an Employment and Skills Coordinator, will significantly enhance local employment and training, especially benefiting disadvantaged residents. </w:t>
      </w:r>
    </w:p>
    <w:p w14:paraId="746D0BA6" w14:textId="77777777" w:rsidR="00BE5EDA" w:rsidRDefault="00BE5EDA" w:rsidP="00BE5EDA">
      <w:pPr>
        <w:pStyle w:val="ListParagraph"/>
      </w:pPr>
    </w:p>
    <w:p w14:paraId="2D087787" w14:textId="77777777" w:rsidR="00BE5EDA" w:rsidRDefault="00F304E6" w:rsidP="00BE5EDA">
      <w:pPr>
        <w:pStyle w:val="ListParagraph"/>
        <w:numPr>
          <w:ilvl w:val="0"/>
          <w:numId w:val="3"/>
        </w:numPr>
        <w:spacing w:line="360" w:lineRule="auto"/>
        <w:jc w:val="both"/>
      </w:pPr>
      <w:r w:rsidRPr="00F72956">
        <w:rPr>
          <w:b/>
          <w:bCs w:val="0"/>
        </w:rPr>
        <w:t>Addressing unmet needs</w:t>
      </w:r>
      <w:r w:rsidRPr="00F304E6">
        <w:t xml:space="preserve"> – directly meets unmet need for office and R&amp;D in an excellent, accessible location. It broadens genuine market choice and explicitly supports start-ups and scale-ups, aligning with NPPF priorities for knowledge-intensive sectors. </w:t>
      </w:r>
    </w:p>
    <w:p w14:paraId="38DE3E0D" w14:textId="77777777" w:rsidR="00BE5EDA" w:rsidRDefault="00BE5EDA" w:rsidP="00BE5EDA">
      <w:pPr>
        <w:pStyle w:val="ListParagraph"/>
      </w:pPr>
    </w:p>
    <w:p w14:paraId="572DEE91" w14:textId="77777777" w:rsidR="00BE5EDA" w:rsidRDefault="00F304E6" w:rsidP="00BE5EDA">
      <w:pPr>
        <w:pStyle w:val="ListParagraph"/>
        <w:numPr>
          <w:ilvl w:val="0"/>
          <w:numId w:val="3"/>
        </w:numPr>
        <w:spacing w:line="360" w:lineRule="auto"/>
        <w:jc w:val="both"/>
      </w:pPr>
      <w:r w:rsidRPr="00F72956">
        <w:rPr>
          <w:b/>
          <w:bCs w:val="0"/>
        </w:rPr>
        <w:t>Injecting competition and optionality into the Cambridge market</w:t>
      </w:r>
      <w:r w:rsidRPr="00F304E6">
        <w:t xml:space="preserve"> – by adding a highly accessible, mixed-use R&amp;D hub that aligns more closely with the qualitative demand than many pipeline schemes, the Proposed Development offers a preferable and deliverable choice for occupiers. This competition between locations keeps the market fluid, accelerates delivery and reduces the risk that foot-loose firms divert investment overseas. Accordingly, the quantitative targets and Iceni analysis should be viewed not as caps but as reference points within a dynamic economy, where a diversity of site, location and offer combinations is essential to satisfy demand and maximise job creation. </w:t>
      </w:r>
    </w:p>
    <w:p w14:paraId="18260439" w14:textId="77777777" w:rsidR="00BE5EDA" w:rsidRDefault="00BE5EDA" w:rsidP="00BE5EDA">
      <w:pPr>
        <w:pStyle w:val="ListParagraph"/>
      </w:pPr>
    </w:p>
    <w:p w14:paraId="6EFABB97" w14:textId="77777777" w:rsidR="00BE5EDA" w:rsidRDefault="00F304E6" w:rsidP="00BE5EDA">
      <w:pPr>
        <w:pStyle w:val="ListParagraph"/>
        <w:numPr>
          <w:ilvl w:val="0"/>
          <w:numId w:val="3"/>
        </w:numPr>
        <w:spacing w:line="360" w:lineRule="auto"/>
        <w:jc w:val="both"/>
      </w:pPr>
      <w:r w:rsidRPr="00F72956">
        <w:rPr>
          <w:b/>
          <w:bCs w:val="0"/>
        </w:rPr>
        <w:t>Strengthening the Cambridge Cluster</w:t>
      </w:r>
      <w:r w:rsidRPr="00F304E6">
        <w:t xml:space="preserve"> – continued investment in high-quality wet lab, dry lab, and office capacity reinforces Cambridge’s status as a globally significant innovation ecosystem, directly enhancing productivity through network effects and knowledge spillovers. It secures investment and global talent that would otherwise be attracted to international competitors such as Boston and the Bay Area, fully supporting the government’s ambition for growth in the Oxford–Cambridge innovation corridor. </w:t>
      </w:r>
    </w:p>
    <w:p w14:paraId="23FB766F" w14:textId="77777777" w:rsidR="00BE5EDA" w:rsidRDefault="00BE5EDA" w:rsidP="00BE5EDA">
      <w:pPr>
        <w:pStyle w:val="ListParagraph"/>
      </w:pPr>
    </w:p>
    <w:p w14:paraId="442A197E" w14:textId="77777777" w:rsidR="00BE5EDA" w:rsidRDefault="00F304E6" w:rsidP="00BE5EDA">
      <w:pPr>
        <w:pStyle w:val="ListParagraph"/>
        <w:numPr>
          <w:ilvl w:val="0"/>
          <w:numId w:val="3"/>
        </w:numPr>
        <w:spacing w:line="360" w:lineRule="auto"/>
        <w:jc w:val="both"/>
      </w:pPr>
      <w:r w:rsidRPr="00F72956">
        <w:rPr>
          <w:b/>
          <w:bCs w:val="0"/>
        </w:rPr>
        <w:t>Economic and fiscal benefits</w:t>
      </w:r>
      <w:r w:rsidRPr="00F304E6">
        <w:t xml:space="preserve"> – delivering approximately £600 million annually in additional GVA and £180m–£240m in tax revenue. </w:t>
      </w:r>
    </w:p>
    <w:p w14:paraId="1E20DD5B" w14:textId="77777777" w:rsidR="00BE5EDA" w:rsidRDefault="00BE5EDA" w:rsidP="00BE5EDA">
      <w:pPr>
        <w:pStyle w:val="ListParagraph"/>
      </w:pPr>
    </w:p>
    <w:p w14:paraId="3644D976" w14:textId="521B3D00" w:rsidR="00BE5EDA" w:rsidRDefault="00F304E6" w:rsidP="00BE5EDA">
      <w:pPr>
        <w:pStyle w:val="ListParagraph"/>
        <w:numPr>
          <w:ilvl w:val="0"/>
          <w:numId w:val="3"/>
        </w:numPr>
        <w:spacing w:line="360" w:lineRule="auto"/>
        <w:jc w:val="both"/>
      </w:pPr>
      <w:r w:rsidRPr="00F72956">
        <w:rPr>
          <w:b/>
          <w:bCs w:val="0"/>
        </w:rPr>
        <w:t>Capturing strategic opportunities</w:t>
      </w:r>
      <w:r w:rsidRPr="00F304E6">
        <w:t xml:space="preserve"> – life science and technology sectors are key priorities identified in the Government’s 2024 Industrial Strategy. The Proposed Development strengthens the UK’s position at the forefront of these critical, high-growth industries, which not only creates immediate economic impacts but supports long-term innovation capacity and global competitiveness. </w:t>
      </w:r>
    </w:p>
    <w:p w14:paraId="0A574941" w14:textId="77777777" w:rsidR="00BE5EDA" w:rsidRDefault="00BE5EDA" w:rsidP="00BE5EDA">
      <w:pPr>
        <w:pStyle w:val="ListParagraph"/>
      </w:pPr>
    </w:p>
    <w:p w14:paraId="135346E9" w14:textId="2C81210D" w:rsidR="00FB4453" w:rsidRDefault="00F304E6" w:rsidP="00BE5EDA">
      <w:pPr>
        <w:pStyle w:val="ListParagraph"/>
        <w:numPr>
          <w:ilvl w:val="0"/>
          <w:numId w:val="3"/>
        </w:numPr>
        <w:spacing w:line="360" w:lineRule="auto"/>
        <w:jc w:val="both"/>
      </w:pPr>
      <w:r w:rsidRPr="00F72956">
        <w:rPr>
          <w:b/>
          <w:bCs w:val="0"/>
        </w:rPr>
        <w:t>Delivering social value</w:t>
      </w:r>
      <w:r w:rsidRPr="00F304E6">
        <w:t xml:space="preserve"> – the local community will benefit from substantial social infrastructure improvements, including youth facilities, inclusive open spaces, active community hubs, and initiatives designed with local stakeholders such as Abbey People and Make Space for Girls, enhancing social cohesion.</w:t>
      </w:r>
    </w:p>
    <w:p w14:paraId="712EECE9" w14:textId="77777777" w:rsidR="00FB4453" w:rsidRDefault="00FB4453" w:rsidP="00FB4453">
      <w:pPr>
        <w:pStyle w:val="ListParagraph"/>
        <w:spacing w:line="360" w:lineRule="auto"/>
        <w:jc w:val="both"/>
      </w:pPr>
    </w:p>
    <w:p w14:paraId="0D132154" w14:textId="41449F6B" w:rsidR="00FB4453" w:rsidRDefault="00EC67E1" w:rsidP="00F2192D">
      <w:pPr>
        <w:pStyle w:val="ListParagraph"/>
        <w:numPr>
          <w:ilvl w:val="0"/>
          <w:numId w:val="1"/>
        </w:numPr>
        <w:spacing w:line="360" w:lineRule="auto"/>
        <w:jc w:val="both"/>
      </w:pPr>
      <w:r>
        <w:t>These points all affect the local area first and should be given substantial weight</w:t>
      </w:r>
      <w:r w:rsidR="00C45DFE">
        <w:t xml:space="preserve"> overall</w:t>
      </w:r>
      <w:r w:rsidR="00C45DFE">
        <w:rPr>
          <w:rStyle w:val="FootnoteReference"/>
        </w:rPr>
        <w:footnoteReference w:id="20"/>
      </w:r>
      <w:r w:rsidR="00C45DFE">
        <w:t xml:space="preserve">. </w:t>
      </w:r>
    </w:p>
    <w:p w14:paraId="10653DB1" w14:textId="50B452B8" w:rsidR="004A2757" w:rsidRDefault="004A2757" w:rsidP="004A2757">
      <w:pPr>
        <w:pStyle w:val="ListParagraph"/>
        <w:spacing w:line="360" w:lineRule="auto"/>
        <w:jc w:val="both"/>
      </w:pPr>
    </w:p>
    <w:p w14:paraId="51DA7819" w14:textId="679DBE0B" w:rsidR="004A2757" w:rsidRDefault="004A2757" w:rsidP="00F2192D">
      <w:pPr>
        <w:pStyle w:val="ListParagraph"/>
        <w:numPr>
          <w:ilvl w:val="0"/>
          <w:numId w:val="1"/>
        </w:numPr>
        <w:spacing w:line="360" w:lineRule="auto"/>
        <w:jc w:val="both"/>
      </w:pPr>
      <w:r>
        <w:t xml:space="preserve">However, they </w:t>
      </w:r>
      <w:r w:rsidR="0058429D">
        <w:t xml:space="preserve">secondly </w:t>
      </w:r>
      <w:r>
        <w:t xml:space="preserve">sound in terms of national planning and the achievement of wider NPPF goals. That is because, as Mr O’Byrne observed, Cambridge is one of the few places in the Uk which is net positive in GVA terms – contributing £1B more than it absorbs per year. </w:t>
      </w:r>
    </w:p>
    <w:p w14:paraId="5A5D6102" w14:textId="77777777" w:rsidR="004A2757" w:rsidRDefault="004A2757" w:rsidP="004A2757">
      <w:pPr>
        <w:pStyle w:val="ListParagraph"/>
      </w:pPr>
    </w:p>
    <w:p w14:paraId="4907925F" w14:textId="77777777" w:rsidR="00881EEE" w:rsidRDefault="0058429D" w:rsidP="00F2192D">
      <w:pPr>
        <w:pStyle w:val="ListParagraph"/>
        <w:numPr>
          <w:ilvl w:val="0"/>
          <w:numId w:val="1"/>
        </w:numPr>
        <w:spacing w:line="360" w:lineRule="auto"/>
        <w:jc w:val="both"/>
      </w:pPr>
      <w:r>
        <w:t>This is important because as Mr O’Byrne stressed, t</w:t>
      </w:r>
      <w:r w:rsidR="00630F61" w:rsidRPr="00630F61">
        <w:t>he UK has struggled with poor productivity growth since the 2008 financial crisis. While this was true for most countries, the impact on the UK has been particularly severe. The Resolution Foundation found that in the 12 years following the crisis, labour productivity grew by just 0.4% per year in the UK, less than half the average rate of 0.9% in the richest OECD countries. The productivity gap between the UK and France, Germany and the US has doubled since 2008, reaching 18%, costing the UK £3,400 in lost output per person annually</w:t>
      </w:r>
      <w:r w:rsidR="00881EEE">
        <w:rPr>
          <w:rStyle w:val="FootnoteReference"/>
        </w:rPr>
        <w:footnoteReference w:id="21"/>
      </w:r>
      <w:r w:rsidR="00630F61" w:rsidRPr="00630F61">
        <w:t>.</w:t>
      </w:r>
    </w:p>
    <w:p w14:paraId="42873542" w14:textId="77777777" w:rsidR="00881EEE" w:rsidRDefault="00881EEE" w:rsidP="00881EEE">
      <w:pPr>
        <w:pStyle w:val="ListParagraph"/>
      </w:pPr>
    </w:p>
    <w:p w14:paraId="2493EFA5" w14:textId="423FA9DF" w:rsidR="004A2757" w:rsidRDefault="00630F61" w:rsidP="00F2192D">
      <w:pPr>
        <w:pStyle w:val="ListParagraph"/>
        <w:numPr>
          <w:ilvl w:val="0"/>
          <w:numId w:val="1"/>
        </w:numPr>
        <w:spacing w:line="360" w:lineRule="auto"/>
        <w:jc w:val="both"/>
      </w:pPr>
      <w:r w:rsidRPr="00630F61">
        <w:t xml:space="preserve">Productivity growth is </w:t>
      </w:r>
      <w:r w:rsidR="00E81988">
        <w:t xml:space="preserve">identified in Mr O’Byrne’s evidence as </w:t>
      </w:r>
      <w:r w:rsidRPr="00630F61">
        <w:t xml:space="preserve">key </w:t>
      </w:r>
      <w:r w:rsidR="00E81988">
        <w:t xml:space="preserve">because </w:t>
      </w:r>
      <w:r w:rsidRPr="00630F61">
        <w:t>it is a primary driver of long-term economic growth and improvements in living standards.</w:t>
      </w:r>
      <w:r w:rsidR="00881EEE">
        <w:t xml:space="preserve">  </w:t>
      </w:r>
      <w:r w:rsidRPr="00630F61">
        <w:t xml:space="preserve">As productivity increases, society can produce more goods and services with the same amount of work, leading to higher incomes and enhanced quality of life. </w:t>
      </w:r>
      <w:r w:rsidR="00E81988">
        <w:t xml:space="preserve">It is no surprise therefore that </w:t>
      </w:r>
      <w:r w:rsidRPr="00630F61">
        <w:t>economic growth is the number one mission of the Labour government</w:t>
      </w:r>
      <w:r w:rsidR="00E81988">
        <w:rPr>
          <w:rStyle w:val="FootnoteReference"/>
        </w:rPr>
        <w:footnoteReference w:id="22"/>
      </w:r>
      <w:r w:rsidRPr="00630F61">
        <w:t>. 4 The government is aiming for the highest sustained growth in the G7, supporting more people in good jobs, higher living standards and driving productivity growth in every part of the UK.</w:t>
      </w:r>
    </w:p>
    <w:p w14:paraId="54168B45" w14:textId="77777777" w:rsidR="00716351" w:rsidRDefault="00716351" w:rsidP="00716351">
      <w:pPr>
        <w:pStyle w:val="ListParagraph"/>
      </w:pPr>
    </w:p>
    <w:p w14:paraId="34A5B4D1" w14:textId="5E6B5C9F" w:rsidR="00716351" w:rsidRDefault="00716351" w:rsidP="00F2192D">
      <w:pPr>
        <w:pStyle w:val="ListParagraph"/>
        <w:numPr>
          <w:ilvl w:val="0"/>
          <w:numId w:val="1"/>
        </w:numPr>
        <w:spacing w:line="360" w:lineRule="auto"/>
        <w:jc w:val="both"/>
      </w:pPr>
      <w:r>
        <w:t xml:space="preserve">Investing in economic growth in Cambridge is therefore </w:t>
      </w:r>
      <w:r w:rsidR="00781A90">
        <w:t xml:space="preserve">likely to maximise the chances of successful economic outcomes. </w:t>
      </w:r>
      <w:r w:rsidR="003B3FBC" w:rsidRPr="003B3FBC">
        <w:t>Greater Cambridge is one of the UK’s most vital economic assets, home to the largest life sciences cluster in Europe, world-class research institutions, and emerging sectors like AI, genomics, and semiconductor design</w:t>
      </w:r>
      <w:r w:rsidR="003B3FBC">
        <w:rPr>
          <w:rStyle w:val="FootnoteReference"/>
        </w:rPr>
        <w:footnoteReference w:id="23"/>
      </w:r>
      <w:r w:rsidR="003B3FBC">
        <w:t>.</w:t>
      </w:r>
      <w:r w:rsidR="003B3FBC" w:rsidRPr="003B3FBC">
        <w:t xml:space="preserve"> The Greater Cambridge economy generates over £50bn annually, represents Europe’s fastest-growing technology sector, and supports vital enabling industries, including manufacturing, data storage, and logistics. The economy is a net contributor of £1bn to the Treasury, making it a global hub of innovation and a cornerstone of the UK’s growth strategy</w:t>
      </w:r>
      <w:r w:rsidR="0049689B">
        <w:rPr>
          <w:rStyle w:val="FootnoteReference"/>
        </w:rPr>
        <w:footnoteReference w:id="24"/>
      </w:r>
      <w:r w:rsidR="003B3FBC" w:rsidRPr="003B3FBC">
        <w:t xml:space="preserve"> .</w:t>
      </w:r>
    </w:p>
    <w:p w14:paraId="6869EEC9" w14:textId="77777777" w:rsidR="0049689B" w:rsidRDefault="0049689B" w:rsidP="0049689B">
      <w:pPr>
        <w:pStyle w:val="ListParagraph"/>
      </w:pPr>
    </w:p>
    <w:p w14:paraId="7B351661" w14:textId="2321523C" w:rsidR="00F64DEE" w:rsidRDefault="00F64DEE" w:rsidP="00F2192D">
      <w:pPr>
        <w:pStyle w:val="ListParagraph"/>
        <w:numPr>
          <w:ilvl w:val="0"/>
          <w:numId w:val="1"/>
        </w:numPr>
        <w:spacing w:line="360" w:lineRule="auto"/>
        <w:jc w:val="both"/>
      </w:pPr>
      <w:r w:rsidRPr="00F64DEE">
        <w:t xml:space="preserve">The Government </w:t>
      </w:r>
      <w:r>
        <w:t xml:space="preserve">reaffirmed </w:t>
      </w:r>
      <w:r w:rsidRPr="00F64DEE">
        <w:t xml:space="preserve">on 28 August 2024 that Greater Cambridge has a vital role to play in this Government’s mission to kickstart economic growth. The Cambridge Growth Company </w:t>
      </w:r>
      <w:r w:rsidR="00456027">
        <w:t xml:space="preserve">(CGC) </w:t>
      </w:r>
      <w:r w:rsidRPr="00F64DEE">
        <w:t>has been tasked with identifying the growth capacity of the city region</w:t>
      </w:r>
      <w:r>
        <w:rPr>
          <w:rStyle w:val="FootnoteReference"/>
        </w:rPr>
        <w:footnoteReference w:id="25"/>
      </w:r>
      <w:r w:rsidRPr="00F64DEE">
        <w:t xml:space="preserve"> </w:t>
      </w:r>
      <w:r>
        <w:t>.</w:t>
      </w:r>
    </w:p>
    <w:p w14:paraId="3A355E46" w14:textId="77777777" w:rsidR="001336D2" w:rsidRDefault="001336D2" w:rsidP="001336D2">
      <w:pPr>
        <w:pStyle w:val="ListParagraph"/>
      </w:pPr>
    </w:p>
    <w:p w14:paraId="6C4F5323" w14:textId="014A0552" w:rsidR="001336D2" w:rsidRDefault="00917600" w:rsidP="00F2192D">
      <w:pPr>
        <w:pStyle w:val="ListParagraph"/>
        <w:numPr>
          <w:ilvl w:val="0"/>
          <w:numId w:val="1"/>
        </w:numPr>
        <w:spacing w:line="360" w:lineRule="auto"/>
        <w:jc w:val="both"/>
      </w:pPr>
      <w:r>
        <w:t xml:space="preserve">Mr O’Byrne covered the issue of residential uses and provision in this context. He (and Mr Kaddish) identified that there is no policy basis for requiring residential development on the Site but also that given the very substantial residential growth being planned for around Cambridge both in the emerging plan and the CGC </w:t>
      </w:r>
      <w:r w:rsidR="00305E2E">
        <w:t xml:space="preserve">direction of travel, there is no economic or planning issue relating to the jobs that would be created by the application scheme detrimentally affecting the </w:t>
      </w:r>
      <w:r w:rsidR="00FE35AB">
        <w:t>City or region’s housing targets or provision.</w:t>
      </w:r>
    </w:p>
    <w:p w14:paraId="2F4B253A" w14:textId="77777777" w:rsidR="00F64DEE" w:rsidRDefault="00F64DEE" w:rsidP="00F64DEE">
      <w:pPr>
        <w:pStyle w:val="ListParagraph"/>
      </w:pPr>
    </w:p>
    <w:p w14:paraId="3014F6C1" w14:textId="705FBA07" w:rsidR="00F64DEE" w:rsidRDefault="00F64DEE" w:rsidP="00F2192D">
      <w:pPr>
        <w:pStyle w:val="ListParagraph"/>
        <w:numPr>
          <w:ilvl w:val="0"/>
          <w:numId w:val="1"/>
        </w:numPr>
        <w:spacing w:line="360" w:lineRule="auto"/>
        <w:jc w:val="both"/>
      </w:pPr>
      <w:r>
        <w:t xml:space="preserve">For these reasons, the scheme </w:t>
      </w:r>
      <w:r w:rsidR="001336D2">
        <w:t>represents a clear, substantial positive contribution to the local and national economy in line with chapter 6 of the NPPF.</w:t>
      </w:r>
    </w:p>
    <w:p w14:paraId="3EA86F17" w14:textId="77777777" w:rsidR="00F64DEE" w:rsidRDefault="00F64DEE" w:rsidP="00F64DEE">
      <w:pPr>
        <w:pStyle w:val="ListParagraph"/>
      </w:pPr>
    </w:p>
    <w:p w14:paraId="2B79DED5" w14:textId="77777777" w:rsidR="007244CF" w:rsidRPr="007244CF" w:rsidRDefault="007244CF" w:rsidP="007244CF">
      <w:pPr>
        <w:pStyle w:val="ListParagraph"/>
        <w:rPr>
          <w:b/>
          <w:bCs w:val="0"/>
        </w:rPr>
      </w:pPr>
    </w:p>
    <w:p w14:paraId="16B2D904" w14:textId="77777777" w:rsidR="007244CF" w:rsidRDefault="007244CF" w:rsidP="00F2192D">
      <w:pPr>
        <w:spacing w:line="360" w:lineRule="auto"/>
        <w:jc w:val="both"/>
        <w:rPr>
          <w:b/>
          <w:bCs w:val="0"/>
        </w:rPr>
      </w:pPr>
    </w:p>
    <w:p w14:paraId="0B83E978" w14:textId="77777777" w:rsidR="00456027" w:rsidRDefault="00456027" w:rsidP="00F2192D">
      <w:pPr>
        <w:spacing w:line="360" w:lineRule="auto"/>
        <w:jc w:val="both"/>
        <w:rPr>
          <w:b/>
          <w:bCs w:val="0"/>
        </w:rPr>
      </w:pPr>
    </w:p>
    <w:p w14:paraId="494FD67E" w14:textId="77777777" w:rsidR="00456027" w:rsidRDefault="00456027" w:rsidP="00F2192D">
      <w:pPr>
        <w:spacing w:line="360" w:lineRule="auto"/>
        <w:jc w:val="both"/>
        <w:rPr>
          <w:b/>
          <w:bCs w:val="0"/>
        </w:rPr>
      </w:pPr>
    </w:p>
    <w:p w14:paraId="57A9DBBB" w14:textId="77777777" w:rsidR="00456027" w:rsidRPr="00F2192D" w:rsidRDefault="00456027" w:rsidP="00F2192D">
      <w:pPr>
        <w:spacing w:line="360" w:lineRule="auto"/>
        <w:jc w:val="both"/>
        <w:rPr>
          <w:b/>
          <w:bCs w:val="0"/>
        </w:rPr>
      </w:pPr>
    </w:p>
    <w:p w14:paraId="663C2646" w14:textId="77777777" w:rsidR="007244CF" w:rsidRPr="007244CF" w:rsidRDefault="007244CF" w:rsidP="007244CF">
      <w:pPr>
        <w:ind w:left="360"/>
        <w:rPr>
          <w:b/>
          <w:bCs w:val="0"/>
        </w:rPr>
      </w:pPr>
    </w:p>
    <w:p w14:paraId="4EDA1BFB" w14:textId="5A52AF9E" w:rsidR="000F611C" w:rsidRPr="007244CF" w:rsidRDefault="001336D2" w:rsidP="007244CF">
      <w:pPr>
        <w:pStyle w:val="ListParagraph"/>
        <w:spacing w:line="360" w:lineRule="auto"/>
        <w:jc w:val="both"/>
        <w:rPr>
          <w:b/>
          <w:bCs w:val="0"/>
        </w:rPr>
      </w:pPr>
      <w:r>
        <w:rPr>
          <w:b/>
          <w:bCs w:val="0"/>
        </w:rPr>
        <w:t>I</w:t>
      </w:r>
      <w:r w:rsidR="000F611C" w:rsidRPr="007244CF">
        <w:rPr>
          <w:b/>
          <w:bCs w:val="0"/>
        </w:rPr>
        <w:t xml:space="preserve">ssue 2: </w:t>
      </w:r>
      <w:r w:rsidR="00057D42" w:rsidRPr="007244CF">
        <w:rPr>
          <w:b/>
          <w:bCs w:val="0"/>
        </w:rPr>
        <w:t>ensuring the vitality of town centres</w:t>
      </w:r>
    </w:p>
    <w:p w14:paraId="11A4FE8A" w14:textId="77777777" w:rsidR="000F611C" w:rsidRDefault="000F611C" w:rsidP="00E46A5C">
      <w:pPr>
        <w:pStyle w:val="ListParagraph"/>
      </w:pPr>
    </w:p>
    <w:p w14:paraId="18A4875C" w14:textId="77777777" w:rsidR="000F611C" w:rsidRDefault="000F611C" w:rsidP="00E46A5C">
      <w:pPr>
        <w:pStyle w:val="ListParagraph"/>
      </w:pPr>
    </w:p>
    <w:p w14:paraId="586EC75C" w14:textId="33F26AC2" w:rsidR="00E46A5C" w:rsidRDefault="002E756E" w:rsidP="00E46A5C">
      <w:pPr>
        <w:pStyle w:val="ListParagraph"/>
        <w:numPr>
          <w:ilvl w:val="0"/>
          <w:numId w:val="1"/>
        </w:numPr>
        <w:spacing w:line="360" w:lineRule="auto"/>
        <w:jc w:val="both"/>
      </w:pPr>
      <w:r>
        <w:t>Paragraph 9.2(b) of the Statement of Common Ground records the agreement of the main parties on this point</w:t>
      </w:r>
      <w:r w:rsidR="005901F6">
        <w:t xml:space="preserve">: </w:t>
      </w:r>
      <w:r w:rsidR="005901F6" w:rsidRPr="00C577DA">
        <w:rPr>
          <w:i/>
          <w:iCs/>
        </w:rPr>
        <w:t>“</w:t>
      </w:r>
      <w:r w:rsidR="00C577DA" w:rsidRPr="00C577DA">
        <w:rPr>
          <w:i/>
          <w:iCs/>
        </w:rPr>
        <w:t>[i]</w:t>
      </w:r>
      <w:r w:rsidR="005901F6" w:rsidRPr="00C577DA">
        <w:rPr>
          <w:i/>
          <w:iCs/>
        </w:rPr>
        <w:t>t is agreed between the parties that the Proposals are consistent with national Government planning policies set out in NPPF Chapter 7</w:t>
      </w:r>
      <w:r w:rsidR="005901F6" w:rsidRPr="005901F6">
        <w:t>.</w:t>
      </w:r>
      <w:r w:rsidR="00C577DA">
        <w:t>”</w:t>
      </w:r>
    </w:p>
    <w:p w14:paraId="061337B8" w14:textId="5D72DD8C" w:rsidR="00C577DA" w:rsidRDefault="00C577DA" w:rsidP="00C577DA">
      <w:pPr>
        <w:pStyle w:val="ListParagraph"/>
        <w:spacing w:line="360" w:lineRule="auto"/>
        <w:jc w:val="both"/>
      </w:pPr>
    </w:p>
    <w:p w14:paraId="1F0B216B" w14:textId="1B1572A5" w:rsidR="00C577DA" w:rsidRDefault="00C577DA" w:rsidP="00E46A5C">
      <w:pPr>
        <w:pStyle w:val="ListParagraph"/>
        <w:numPr>
          <w:ilvl w:val="0"/>
          <w:numId w:val="1"/>
        </w:numPr>
        <w:spacing w:line="360" w:lineRule="auto"/>
        <w:jc w:val="both"/>
      </w:pPr>
      <w:r>
        <w:t xml:space="preserve">The Site is not the subject of protective retail or town centre policies in the adopted plan, and therefore the loss of the retail provision from the site </w:t>
      </w:r>
      <w:r w:rsidR="008F7877">
        <w:t>gives rise to no concerns in policy terms.</w:t>
      </w:r>
      <w:r w:rsidR="0031700D">
        <w:t xml:space="preserve"> The Statement of Common Ground puts it this way</w:t>
      </w:r>
      <w:r w:rsidR="0031700D">
        <w:rPr>
          <w:rStyle w:val="FootnoteReference"/>
        </w:rPr>
        <w:footnoteReference w:id="26"/>
      </w:r>
      <w:r w:rsidR="0031700D">
        <w:t>:</w:t>
      </w:r>
    </w:p>
    <w:p w14:paraId="4EA6D7F5" w14:textId="77777777" w:rsidR="00E46A5C" w:rsidRDefault="00E46A5C" w:rsidP="00E46A5C">
      <w:pPr>
        <w:pStyle w:val="ListParagraph"/>
      </w:pPr>
    </w:p>
    <w:p w14:paraId="693979CE" w14:textId="77777777" w:rsidR="000E581F" w:rsidRPr="000E581F" w:rsidRDefault="000E581F" w:rsidP="00E46A5C">
      <w:pPr>
        <w:pStyle w:val="ListParagraph"/>
        <w:rPr>
          <w:i/>
          <w:iCs/>
        </w:rPr>
      </w:pPr>
      <w:r w:rsidRPr="000E581F">
        <w:rPr>
          <w:i/>
          <w:iCs/>
        </w:rPr>
        <w:t xml:space="preserve">“7.15  The Proposed Development will result in a move from large-format retail units to smaller units within a local centre. The Cambridge Local Plan does not include the Beehive Centre within the existing hierarchy of shopping centres and it does not provide policy protection for the retail quantum or type/mix of spaces. There is no restriction on the current use of the Site under Class E. </w:t>
      </w:r>
    </w:p>
    <w:p w14:paraId="508A756F" w14:textId="77777777" w:rsidR="000E581F" w:rsidRPr="000E581F" w:rsidRDefault="000E581F" w:rsidP="00E46A5C">
      <w:pPr>
        <w:pStyle w:val="ListParagraph"/>
        <w:rPr>
          <w:i/>
          <w:iCs/>
        </w:rPr>
      </w:pPr>
    </w:p>
    <w:p w14:paraId="2745BCBB" w14:textId="4BDC0580" w:rsidR="000E581F" w:rsidRDefault="000E581F" w:rsidP="00E46A5C">
      <w:pPr>
        <w:pStyle w:val="ListParagraph"/>
      </w:pPr>
      <w:r w:rsidRPr="000E581F">
        <w:rPr>
          <w:i/>
          <w:iCs/>
        </w:rPr>
        <w:t>7.16 Retail and town centre policies have been considered by the LPA and the Applicant with respect to the Proposed Development. The following statement from the Committee Report (Paragraph 13.42) is an agreed statement: “In summary the supporting retail statement(s) has adequately demonstrated that the proposed development passes the sequential and retail impact tests and would not give rise to any unacceptable impacts on local centres or the city centre. Accordingly, the proposed quantum and (potential) mix of retail and town centres uses would be acceptable having regard to the nature of the development, including its out of centre location and the potential for it to impact upon other local centres, including town centre Beehive Centre vitality and viability, in accordance with the requirements of Policy 6 of the CLP and the relevant aims and objectives contained within the National Planning Policy Framework (NPPF</w:t>
      </w:r>
      <w:r w:rsidR="002B7A50">
        <w:rPr>
          <w:i/>
          <w:iCs/>
        </w:rPr>
        <w:t>)”</w:t>
      </w:r>
    </w:p>
    <w:p w14:paraId="1EE98545" w14:textId="77777777" w:rsidR="000E581F" w:rsidRDefault="000E581F" w:rsidP="00E46A5C">
      <w:pPr>
        <w:pStyle w:val="ListParagraph"/>
      </w:pPr>
    </w:p>
    <w:p w14:paraId="5FFA67B1" w14:textId="206572BD" w:rsidR="00E46A5C" w:rsidRDefault="00E46A5C" w:rsidP="002B7A50">
      <w:pPr>
        <w:pStyle w:val="ListParagraph"/>
        <w:spacing w:line="360" w:lineRule="auto"/>
        <w:jc w:val="both"/>
      </w:pPr>
    </w:p>
    <w:p w14:paraId="702FDDDB" w14:textId="17D1CAC5" w:rsidR="002B7A50" w:rsidRDefault="006C5173" w:rsidP="00E46A5C">
      <w:pPr>
        <w:pStyle w:val="ListParagraph"/>
        <w:numPr>
          <w:ilvl w:val="0"/>
          <w:numId w:val="1"/>
        </w:numPr>
        <w:spacing w:line="360" w:lineRule="auto"/>
        <w:jc w:val="both"/>
      </w:pPr>
      <w:r>
        <w:t xml:space="preserve">Mr O’Byrne has taken into account the </w:t>
      </w:r>
      <w:r w:rsidR="00141996">
        <w:t xml:space="preserve">other retail matters. He analyses the employment losses from the existing occupiers on the Site including the ongoing work of relocating and possible additional </w:t>
      </w:r>
      <w:r w:rsidR="00DB2410">
        <w:t>floorspace at the CRP</w:t>
      </w:r>
      <w:r w:rsidR="00141996">
        <w:rPr>
          <w:rStyle w:val="FootnoteReference"/>
        </w:rPr>
        <w:footnoteReference w:id="27"/>
      </w:r>
      <w:r w:rsidR="00DB2410">
        <w:t>.  He indicated in answer to of the Inspector’s questions that the CRP is not at capacity as retailers are looking for less space when their rental terns come to an end; the likely way forward is a combination of sub-division, refurbishment and some potential new space at CRP, some elements of which would need planning permission in due course.</w:t>
      </w:r>
    </w:p>
    <w:p w14:paraId="039A6A0F" w14:textId="266A8744" w:rsidR="002B7A50" w:rsidRDefault="002B7A50" w:rsidP="002B7A50">
      <w:pPr>
        <w:pStyle w:val="ListParagraph"/>
        <w:spacing w:line="360" w:lineRule="auto"/>
        <w:jc w:val="both"/>
      </w:pPr>
    </w:p>
    <w:p w14:paraId="753A4307" w14:textId="42773AAA" w:rsidR="002B7A50" w:rsidRDefault="00D0519B" w:rsidP="00E46A5C">
      <w:pPr>
        <w:pStyle w:val="ListParagraph"/>
        <w:numPr>
          <w:ilvl w:val="0"/>
          <w:numId w:val="1"/>
        </w:numPr>
        <w:spacing w:line="360" w:lineRule="auto"/>
        <w:jc w:val="both"/>
      </w:pPr>
      <w:r>
        <w:t xml:space="preserve">I deal here with the point on loss of local facilities under NPPF paragraph 98(c). Mr O’Byrne </w:t>
      </w:r>
      <w:r w:rsidR="0092030D">
        <w:t>said this:</w:t>
      </w:r>
    </w:p>
    <w:p w14:paraId="3DA92300" w14:textId="77777777" w:rsidR="0092030D" w:rsidRDefault="0092030D" w:rsidP="0092030D">
      <w:pPr>
        <w:pStyle w:val="ListParagraph"/>
      </w:pPr>
    </w:p>
    <w:p w14:paraId="7B09A2B5" w14:textId="3C8DBAFB" w:rsidR="0092030D" w:rsidRDefault="0092030D" w:rsidP="00A14D04">
      <w:pPr>
        <w:pStyle w:val="ListParagraph"/>
        <w:numPr>
          <w:ilvl w:val="0"/>
          <w:numId w:val="4"/>
        </w:numPr>
        <w:spacing w:line="360" w:lineRule="auto"/>
        <w:jc w:val="both"/>
      </w:pPr>
      <w:r>
        <w:t xml:space="preserve">Insofar as </w:t>
      </w:r>
      <w:r w:rsidR="00A14D04">
        <w:t xml:space="preserve">food retailing is concerned, the scheme will bring with it multiple options for food retailing, including small convenience shopping. But there is no reason as things stand to conclude that </w:t>
      </w:r>
      <w:r w:rsidR="00973A8C">
        <w:t>major convenience shopping would not be retained (ie, relocated t</w:t>
      </w:r>
      <w:r w:rsidR="004A4246">
        <w:t xml:space="preserve">o </w:t>
      </w:r>
      <w:r w:rsidR="00973A8C">
        <w:t>CRP</w:t>
      </w:r>
      <w:r w:rsidR="004A4246">
        <w:t>); even if that were not to happen, there is a substantial range of food retailing (including discounters Aldi and Lidl as well as Tesco</w:t>
      </w:r>
      <w:r w:rsidR="00F54D6E">
        <w:t>’s</w:t>
      </w:r>
      <w:r w:rsidR="004A4246">
        <w:t xml:space="preserve"> superstore) within easy travel distance from the residential areas around the site. There is therefore no evidential basis for concluding that the scheme will leave local people without food shopping resources close at hand.</w:t>
      </w:r>
    </w:p>
    <w:p w14:paraId="48110446" w14:textId="45068610" w:rsidR="00834DD6" w:rsidRDefault="00834DD6" w:rsidP="00834DD6">
      <w:pPr>
        <w:pStyle w:val="ListParagraph"/>
        <w:spacing w:line="360" w:lineRule="auto"/>
        <w:ind w:left="1080"/>
        <w:jc w:val="both"/>
      </w:pPr>
    </w:p>
    <w:p w14:paraId="4B47DCD6" w14:textId="2B22BA4C" w:rsidR="00834DD6" w:rsidRDefault="00834DD6" w:rsidP="00A14D04">
      <w:pPr>
        <w:pStyle w:val="ListParagraph"/>
        <w:numPr>
          <w:ilvl w:val="0"/>
          <w:numId w:val="4"/>
        </w:numPr>
        <w:spacing w:line="360" w:lineRule="auto"/>
        <w:jc w:val="both"/>
      </w:pPr>
      <w:r>
        <w:t>Insofar as the pool is concerned, it is not a public pool</w:t>
      </w:r>
      <w:r w:rsidR="00DA69E6">
        <w:t>,</w:t>
      </w:r>
      <w:r>
        <w:t xml:space="preserve"> in the sense that it is accessible only to those with </w:t>
      </w:r>
      <w:r w:rsidR="00DA69E6">
        <w:t>membership of the gym in which it lies. There are public pools in this part of Cambridge including that at Parkers Piece</w:t>
      </w:r>
      <w:r w:rsidR="005B6A0A">
        <w:t>, as Mr Kaddish set out. The Council do not object to the loss of the pool and there is a financial contribution in the s.106 obligation, reflective of additional potential upkeep of alternative pools in the area.</w:t>
      </w:r>
    </w:p>
    <w:p w14:paraId="7F69E1B3" w14:textId="77777777" w:rsidR="0092030D" w:rsidRDefault="0092030D" w:rsidP="0092030D">
      <w:pPr>
        <w:pStyle w:val="ListParagraph"/>
      </w:pPr>
    </w:p>
    <w:p w14:paraId="764ED6E7" w14:textId="77777777" w:rsidR="0092030D" w:rsidRDefault="0092030D" w:rsidP="0092030D">
      <w:pPr>
        <w:pStyle w:val="ListParagraph"/>
      </w:pPr>
    </w:p>
    <w:p w14:paraId="4FA47859" w14:textId="77777777" w:rsidR="0092030D" w:rsidRDefault="0092030D" w:rsidP="0092030D">
      <w:pPr>
        <w:pStyle w:val="ListParagraph"/>
      </w:pPr>
    </w:p>
    <w:p w14:paraId="24070DCC" w14:textId="045456A6" w:rsidR="0092030D" w:rsidRDefault="005B6A0A" w:rsidP="00E46A5C">
      <w:pPr>
        <w:pStyle w:val="ListParagraph"/>
        <w:numPr>
          <w:ilvl w:val="0"/>
          <w:numId w:val="1"/>
        </w:numPr>
        <w:spacing w:line="360" w:lineRule="auto"/>
        <w:jc w:val="both"/>
      </w:pPr>
      <w:r>
        <w:t xml:space="preserve">For these reasons, the </w:t>
      </w:r>
      <w:r w:rsidR="00F91C1E">
        <w:t xml:space="preserve">application scheme would fully accord with the </w:t>
      </w:r>
      <w:r w:rsidR="00EE6F13">
        <w:t xml:space="preserve">policies for retail and town centres in the NPPF and would accord with related policies in the local plan.  </w:t>
      </w:r>
    </w:p>
    <w:p w14:paraId="7944B15B" w14:textId="77777777" w:rsidR="00E46A5C" w:rsidRDefault="00E46A5C" w:rsidP="00E46A5C">
      <w:pPr>
        <w:pStyle w:val="ListParagraph"/>
      </w:pPr>
    </w:p>
    <w:p w14:paraId="20507B10" w14:textId="77777777" w:rsidR="00057D42" w:rsidRDefault="00057D42" w:rsidP="00E46A5C">
      <w:pPr>
        <w:pStyle w:val="ListParagraph"/>
      </w:pPr>
    </w:p>
    <w:p w14:paraId="3CE7A971" w14:textId="77777777" w:rsidR="00057D42" w:rsidRDefault="00057D42" w:rsidP="00E46A5C">
      <w:pPr>
        <w:pStyle w:val="ListParagraph"/>
      </w:pPr>
    </w:p>
    <w:p w14:paraId="51CF3032" w14:textId="77777777" w:rsidR="00057D42" w:rsidRDefault="00057D42" w:rsidP="00E46A5C">
      <w:pPr>
        <w:pStyle w:val="ListParagraph"/>
      </w:pPr>
    </w:p>
    <w:p w14:paraId="7BF9195D" w14:textId="77777777" w:rsidR="00057D42" w:rsidRDefault="00057D42" w:rsidP="00E46A5C">
      <w:pPr>
        <w:pStyle w:val="ListParagraph"/>
      </w:pPr>
    </w:p>
    <w:p w14:paraId="57BE983F" w14:textId="77777777" w:rsidR="00057D42" w:rsidRDefault="00057D42" w:rsidP="00E46A5C">
      <w:pPr>
        <w:pStyle w:val="ListParagraph"/>
      </w:pPr>
    </w:p>
    <w:p w14:paraId="452BFEF5" w14:textId="2BE37B54" w:rsidR="00057D42" w:rsidRPr="00057D42" w:rsidRDefault="00057D42" w:rsidP="00E46A5C">
      <w:pPr>
        <w:pStyle w:val="ListParagraph"/>
        <w:rPr>
          <w:b/>
          <w:bCs w:val="0"/>
        </w:rPr>
      </w:pPr>
      <w:r>
        <w:rPr>
          <w:b/>
          <w:bCs w:val="0"/>
        </w:rPr>
        <w:t>Issue 3: well designed places</w:t>
      </w:r>
    </w:p>
    <w:p w14:paraId="012F1C94" w14:textId="77777777" w:rsidR="00EC7EE0" w:rsidRDefault="00EC7EE0" w:rsidP="00EC7EE0"/>
    <w:p w14:paraId="313C1837" w14:textId="77777777" w:rsidR="00EC7EE0" w:rsidRDefault="00EC7EE0" w:rsidP="00E46A5C">
      <w:pPr>
        <w:pStyle w:val="ListParagraph"/>
      </w:pPr>
    </w:p>
    <w:p w14:paraId="5719A514" w14:textId="478095FD" w:rsidR="00AD2B5D" w:rsidRDefault="00EE6F13" w:rsidP="008D02EF">
      <w:pPr>
        <w:pStyle w:val="ListParagraph"/>
        <w:numPr>
          <w:ilvl w:val="0"/>
          <w:numId w:val="1"/>
        </w:numPr>
        <w:spacing w:line="360" w:lineRule="auto"/>
        <w:jc w:val="both"/>
      </w:pPr>
      <w:r>
        <w:t>I include in this main issue the following: (1) general design</w:t>
      </w:r>
      <w:r w:rsidR="00737E24">
        <w:t xml:space="preserve"> including making best use of PDL</w:t>
      </w:r>
      <w:r>
        <w:t xml:space="preserve">, (2) townscape effects, (3) heritage effects, and (4) the issue of </w:t>
      </w:r>
      <w:r w:rsidR="00737E24">
        <w:t>neighbouring living conditions.</w:t>
      </w:r>
      <w:r w:rsidR="00152372">
        <w:t xml:space="preserve">  The Statement of Common Ground</w:t>
      </w:r>
      <w:r w:rsidR="00152372">
        <w:rPr>
          <w:rStyle w:val="FootnoteReference"/>
        </w:rPr>
        <w:footnoteReference w:id="28"/>
      </w:r>
      <w:r w:rsidR="00152372">
        <w:t xml:space="preserve"> recorded the </w:t>
      </w:r>
      <w:r w:rsidR="00AD2B5D">
        <w:t xml:space="preserve">agreement just before the inquiry began: </w:t>
      </w:r>
      <w:r w:rsidR="00AD2B5D" w:rsidRPr="008D02EF">
        <w:rPr>
          <w:i/>
          <w:iCs/>
        </w:rPr>
        <w:t>“[a]side from the disagreement between the parties on the extent of the proposed development’s consistency with paragraph 135 (c) and (f) of the NPPF, it is agreed that the Proposals are consistent with the remaining policies contained in Chapter 12 of the NPPF.”</w:t>
      </w:r>
    </w:p>
    <w:p w14:paraId="19BB74E8" w14:textId="4B0F8BBE" w:rsidR="008D02EF" w:rsidRDefault="008D02EF" w:rsidP="008D02EF">
      <w:pPr>
        <w:pStyle w:val="ListParagraph"/>
        <w:spacing w:line="360" w:lineRule="auto"/>
        <w:jc w:val="both"/>
      </w:pPr>
    </w:p>
    <w:p w14:paraId="1792C6B6" w14:textId="0778C0A2" w:rsidR="00057D42" w:rsidRDefault="008D02EF" w:rsidP="00F54D6E">
      <w:pPr>
        <w:pStyle w:val="ListParagraph"/>
        <w:numPr>
          <w:ilvl w:val="0"/>
          <w:numId w:val="1"/>
        </w:numPr>
        <w:spacing w:line="360" w:lineRule="auto"/>
        <w:jc w:val="both"/>
      </w:pPr>
      <w:r>
        <w:t xml:space="preserve">Obviously at the close of the inquiry the position is different and the Council acknowledges that </w:t>
      </w:r>
      <w:r w:rsidR="008126A9">
        <w:t>paragraphs 135(c) and (f) of the NPPF – those dealing with living conditions</w:t>
      </w:r>
      <w:r w:rsidR="00B7087A">
        <w:t xml:space="preserve"> and </w:t>
      </w:r>
      <w:r w:rsidR="002122A6">
        <w:t>residual townscape effects</w:t>
      </w:r>
      <w:r w:rsidR="008126A9">
        <w:t xml:space="preserve"> – are adequately met (as they see it, based on the Illustrative Scheme condition). </w:t>
      </w:r>
      <w:r w:rsidR="001E5EAE">
        <w:t>So the up to date position is again one of unanimity in relation to main issue 3.</w:t>
      </w:r>
      <w:r w:rsidR="002122A6">
        <w:t xml:space="preserve">  There remain between the parties issues over the extent of harm based on the PPs (in relation to living conditions) and townscape (though the Council have never claimed that the residual townscape effects as they saw them were sufficient </w:t>
      </w:r>
      <w:r w:rsidR="00583D70">
        <w:t>for permission to be refused</w:t>
      </w:r>
      <w:r w:rsidR="00583D70">
        <w:rPr>
          <w:rStyle w:val="FootnoteReference"/>
        </w:rPr>
        <w:footnoteReference w:id="29"/>
      </w:r>
      <w:r w:rsidR="00583D70">
        <w:t>)</w:t>
      </w:r>
      <w:r w:rsidR="00A95B6C">
        <w:t xml:space="preserve"> to which I will come</w:t>
      </w:r>
      <w:r w:rsidR="00583D70">
        <w:t>.</w:t>
      </w:r>
    </w:p>
    <w:p w14:paraId="286E72F0" w14:textId="77777777" w:rsidR="00F54D6E" w:rsidRDefault="00F54D6E" w:rsidP="00F54D6E">
      <w:pPr>
        <w:pStyle w:val="ListParagraph"/>
      </w:pPr>
    </w:p>
    <w:p w14:paraId="38301A51" w14:textId="77777777" w:rsidR="00F54D6E" w:rsidRDefault="00F54D6E" w:rsidP="00F54D6E">
      <w:pPr>
        <w:pStyle w:val="ListParagraph"/>
        <w:spacing w:line="360" w:lineRule="auto"/>
        <w:jc w:val="both"/>
      </w:pPr>
    </w:p>
    <w:p w14:paraId="6DC3D972" w14:textId="77777777" w:rsidR="00746931" w:rsidRDefault="00746931" w:rsidP="00057D42">
      <w:pPr>
        <w:pStyle w:val="ListParagraph"/>
      </w:pPr>
    </w:p>
    <w:p w14:paraId="14FD3142" w14:textId="4142B650" w:rsidR="00746931" w:rsidRPr="00746931" w:rsidRDefault="00746931" w:rsidP="00057D42">
      <w:pPr>
        <w:pStyle w:val="ListParagraph"/>
        <w:rPr>
          <w:i/>
          <w:iCs/>
        </w:rPr>
      </w:pPr>
      <w:r>
        <w:rPr>
          <w:i/>
          <w:iCs/>
        </w:rPr>
        <w:t xml:space="preserve">Design in general </w:t>
      </w:r>
    </w:p>
    <w:p w14:paraId="44761F26" w14:textId="77777777" w:rsidR="00746931" w:rsidRDefault="00746931" w:rsidP="00057D42">
      <w:pPr>
        <w:pStyle w:val="ListParagraph"/>
      </w:pPr>
    </w:p>
    <w:p w14:paraId="6A02FBBC" w14:textId="77777777" w:rsidR="00746931" w:rsidRDefault="00746931" w:rsidP="00057D42">
      <w:pPr>
        <w:pStyle w:val="ListParagraph"/>
      </w:pPr>
    </w:p>
    <w:p w14:paraId="3605CCE9" w14:textId="3C87DB69" w:rsidR="00057D42" w:rsidRDefault="00746931" w:rsidP="00E46A5C">
      <w:pPr>
        <w:pStyle w:val="ListParagraph"/>
        <w:numPr>
          <w:ilvl w:val="0"/>
          <w:numId w:val="1"/>
        </w:numPr>
        <w:spacing w:line="360" w:lineRule="auto"/>
        <w:jc w:val="both"/>
      </w:pPr>
      <w:r>
        <w:t xml:space="preserve">The current </w:t>
      </w:r>
      <w:r w:rsidR="00E8240E">
        <w:t xml:space="preserve">Beehive Centre is </w:t>
      </w:r>
      <w:r w:rsidR="00FE3429">
        <w:t>a series of utilitarian retail sheds fringing a large car park. As Mr Martin puts it,</w:t>
      </w:r>
      <w:r w:rsidR="00FE3429">
        <w:rPr>
          <w:rStyle w:val="FootnoteReference"/>
        </w:rPr>
        <w:footnoteReference w:id="30"/>
      </w:r>
      <w:r w:rsidR="00FE3429">
        <w:t xml:space="preserve"> </w:t>
      </w:r>
      <w:r w:rsidR="00FE3429" w:rsidRPr="00235747">
        <w:rPr>
          <w:i/>
          <w:iCs/>
        </w:rPr>
        <w:t>“[t]he overall vision of transforming an underutilised, car park dominated retail park into an accessible, inclusive, place-based innovation cluster, which incorporates a network of public open spaces and connectivity routes is positive and supportable.”</w:t>
      </w:r>
      <w:r w:rsidR="00FC0045">
        <w:rPr>
          <w:i/>
          <w:iCs/>
        </w:rPr>
        <w:t xml:space="preserve"> </w:t>
      </w:r>
      <w:r w:rsidR="00FC0045">
        <w:t xml:space="preserve">The caveats one finds in his proof of evidence on behalf of the Council on design are </w:t>
      </w:r>
      <w:r w:rsidR="00AE32A7">
        <w:t xml:space="preserve">very largely related to the objection on residential amenity grounds which he would no longer maintain if the condition (as discussed at the inquiry) was imposed. </w:t>
      </w:r>
    </w:p>
    <w:p w14:paraId="1CE91A25" w14:textId="77777777" w:rsidR="00057D42" w:rsidRDefault="00057D42" w:rsidP="00057D42">
      <w:pPr>
        <w:pStyle w:val="ListParagraph"/>
      </w:pPr>
    </w:p>
    <w:p w14:paraId="62BC81C2" w14:textId="79E1BDAE" w:rsidR="00057D42" w:rsidRDefault="00235747" w:rsidP="00E46A5C">
      <w:pPr>
        <w:pStyle w:val="ListParagraph"/>
        <w:numPr>
          <w:ilvl w:val="0"/>
          <w:numId w:val="1"/>
        </w:numPr>
        <w:spacing w:line="360" w:lineRule="auto"/>
        <w:jc w:val="both"/>
      </w:pPr>
      <w:r>
        <w:t>Mr Leonard’s design would achieve</w:t>
      </w:r>
      <w:r w:rsidR="00227A8F">
        <w:t xml:space="preserve"> a transformational change in placemaking on the Site</w:t>
      </w:r>
      <w:r w:rsidR="001C4FAB">
        <w:t>:</w:t>
      </w:r>
    </w:p>
    <w:p w14:paraId="41FA5FCF" w14:textId="77777777" w:rsidR="001C4FAB" w:rsidRDefault="001C4FAB" w:rsidP="001C4FAB">
      <w:pPr>
        <w:pStyle w:val="ListParagraph"/>
      </w:pPr>
    </w:p>
    <w:p w14:paraId="12594BC5" w14:textId="77777777" w:rsidR="00AF09DA" w:rsidRDefault="001C4FAB" w:rsidP="001C4FAB">
      <w:pPr>
        <w:pStyle w:val="ListParagraph"/>
        <w:numPr>
          <w:ilvl w:val="0"/>
          <w:numId w:val="5"/>
        </w:numPr>
        <w:spacing w:line="360" w:lineRule="auto"/>
        <w:jc w:val="both"/>
      </w:pPr>
      <w:r>
        <w:t xml:space="preserve">There would be a very significant change in quality at the Coldham’s Lane entrance to the Site, where a </w:t>
      </w:r>
      <w:r w:rsidR="00354641">
        <w:t xml:space="preserve">new, pedestrian and cycle friendly roundabout junction would replace the rather unpleasant ands expedient junction that occupies that space at the moment. </w:t>
      </w:r>
      <w:r w:rsidR="0060649F">
        <w:t xml:space="preserve">There would be well designed buildings on Plots 1 and 2 – with a large space heavily planted with trees </w:t>
      </w:r>
      <w:r w:rsidR="00AF09DA">
        <w:t>entirely changing the experience of entering the Site for the better.</w:t>
      </w:r>
    </w:p>
    <w:p w14:paraId="77F3E3C8" w14:textId="1AEA05E2" w:rsidR="00AF09DA" w:rsidRDefault="00AF09DA" w:rsidP="00AF09DA">
      <w:pPr>
        <w:pStyle w:val="ListParagraph"/>
        <w:spacing w:line="360" w:lineRule="auto"/>
        <w:ind w:left="1080"/>
        <w:jc w:val="both"/>
      </w:pPr>
    </w:p>
    <w:p w14:paraId="60894C10" w14:textId="27AA33C5" w:rsidR="00493637" w:rsidRDefault="00AF09DA" w:rsidP="001C4FAB">
      <w:pPr>
        <w:pStyle w:val="ListParagraph"/>
        <w:numPr>
          <w:ilvl w:val="0"/>
          <w:numId w:val="5"/>
        </w:numPr>
        <w:spacing w:line="360" w:lineRule="auto"/>
        <w:jc w:val="both"/>
      </w:pPr>
      <w:r>
        <w:t xml:space="preserve">At ground floor, the public realm would be interesting, varied, much greener, and with active frontages along each building. Even the </w:t>
      </w:r>
      <w:r w:rsidR="002B6577">
        <w:t xml:space="preserve">mobility hub would offer a range of visual and function interaction with the public realm, due to the space reserved there for community uses. The larger spaces, </w:t>
      </w:r>
      <w:r w:rsidR="00493637">
        <w:t>Hive Park and Maple Square would become genuine city spaces, with shops and other ground floor uses around attractive civic spaces for those in the wider locality to use and enjoy.</w:t>
      </w:r>
      <w:r w:rsidR="00B37A1B">
        <w:t xml:space="preserve">  Threading through these spaces would be routes for pedestrians and cyclists which would all comply with guidance on separation, safety and useabilit</w:t>
      </w:r>
      <w:r w:rsidR="00D31026">
        <w:t>y.</w:t>
      </w:r>
    </w:p>
    <w:p w14:paraId="0E37FC06" w14:textId="77777777" w:rsidR="00493637" w:rsidRDefault="00493637" w:rsidP="00493637">
      <w:pPr>
        <w:pStyle w:val="ListParagraph"/>
      </w:pPr>
    </w:p>
    <w:p w14:paraId="57EDDB49" w14:textId="5574D50F" w:rsidR="006068D0" w:rsidRDefault="00B37A1B" w:rsidP="006068D0">
      <w:pPr>
        <w:pStyle w:val="ListParagraph"/>
        <w:numPr>
          <w:ilvl w:val="0"/>
          <w:numId w:val="5"/>
        </w:numPr>
        <w:spacing w:line="360" w:lineRule="auto"/>
        <w:jc w:val="both"/>
      </w:pPr>
      <w:r>
        <w:t xml:space="preserve">The buildings themselves, whilst larger and more imposing than the sheds of the current Beehive, would be of exemplary quality due to the </w:t>
      </w:r>
      <w:r w:rsidR="00D31026">
        <w:t>requirements of the Design Code – the Illustrative Scheme gives an accurate impression of the kind of environment that would be created</w:t>
      </w:r>
      <w:r w:rsidR="0028193D">
        <w:t xml:space="preserve">. It would achieve the full set of design </w:t>
      </w:r>
      <w:r w:rsidR="006068D0">
        <w:t xml:space="preserve">policy </w:t>
      </w:r>
      <w:r w:rsidR="0028193D">
        <w:t xml:space="preserve">requirements set out in NPPF paragraph </w:t>
      </w:r>
      <w:r w:rsidR="004F5255">
        <w:t>135</w:t>
      </w:r>
      <w:r w:rsidR="006068D0">
        <w:t>.</w:t>
      </w:r>
    </w:p>
    <w:p w14:paraId="70C9E0B4" w14:textId="77777777" w:rsidR="001C4FAB" w:rsidRDefault="001C4FAB" w:rsidP="001C4FAB">
      <w:pPr>
        <w:pStyle w:val="ListParagraph"/>
      </w:pPr>
    </w:p>
    <w:p w14:paraId="21128772" w14:textId="77777777" w:rsidR="001C4FAB" w:rsidRDefault="001C4FAB" w:rsidP="001C4FAB">
      <w:pPr>
        <w:pStyle w:val="ListParagraph"/>
      </w:pPr>
    </w:p>
    <w:p w14:paraId="24934CE9" w14:textId="0B8F0E10" w:rsidR="001C4FAB" w:rsidRDefault="006068D0" w:rsidP="00E46A5C">
      <w:pPr>
        <w:pStyle w:val="ListParagraph"/>
        <w:numPr>
          <w:ilvl w:val="0"/>
          <w:numId w:val="1"/>
        </w:numPr>
        <w:spacing w:line="360" w:lineRule="auto"/>
        <w:jc w:val="both"/>
      </w:pPr>
      <w:r>
        <w:t>It is perhaps worth dwelling on paragraph 13</w:t>
      </w:r>
      <w:r w:rsidR="00CB70A6">
        <w:t>5</w:t>
      </w:r>
      <w:r w:rsidR="00AE1A26">
        <w:t>(e)</w:t>
      </w:r>
      <w:r>
        <w:t xml:space="preserve"> which </w:t>
      </w:r>
      <w:r w:rsidR="00AE1A26">
        <w:t>require</w:t>
      </w:r>
      <w:r w:rsidR="00CB70A6">
        <w:t>s</w:t>
      </w:r>
      <w:r w:rsidR="00AE1A26">
        <w:t xml:space="preserve"> decisions to ensure that developments</w:t>
      </w:r>
      <w:r w:rsidR="00B33F72">
        <w:t xml:space="preserve"> </w:t>
      </w:r>
      <w:r w:rsidR="00BC4EFF">
        <w:t>“</w:t>
      </w:r>
      <w:r w:rsidR="00BC4EFF" w:rsidRPr="00BC4EFF">
        <w:rPr>
          <w:i/>
          <w:iCs/>
        </w:rPr>
        <w:t>optimise the potential of the site to accommodate and sustain an appropriate amount and mix of development (including green and other public space) and support local facilities and transport networks</w:t>
      </w:r>
      <w:r w:rsidR="00BC4EFF">
        <w:t>”.</w:t>
      </w:r>
      <w:r w:rsidR="00FD0EFE">
        <w:t xml:space="preserve"> The idea of optimisation has a particular force when sustainable, previously-developed land is the subject of consideration. There is a direct connection between paragraph 135(e) and the new (December 2024) paragraph 125(c)</w:t>
      </w:r>
      <w:r w:rsidR="001754E9">
        <w:t xml:space="preserve">, which provides (in relevant part) that decisions should </w:t>
      </w:r>
      <w:r w:rsidR="001754E9" w:rsidRPr="001754E9">
        <w:rPr>
          <w:i/>
          <w:iCs/>
        </w:rPr>
        <w:t>“give substantial weight to the value of using suitable brownfield land within settlements for homes and other identified needs, proposals for which should be approved unless substantial harm would be caused.”</w:t>
      </w:r>
    </w:p>
    <w:p w14:paraId="576DDD10" w14:textId="5E5AD508" w:rsidR="00CB70A6" w:rsidRDefault="00CB70A6" w:rsidP="00CB70A6">
      <w:pPr>
        <w:pStyle w:val="ListParagraph"/>
        <w:spacing w:line="360" w:lineRule="auto"/>
        <w:jc w:val="both"/>
      </w:pPr>
    </w:p>
    <w:p w14:paraId="462C21D3" w14:textId="2C24BDB4" w:rsidR="00CB70A6" w:rsidRDefault="009332F9" w:rsidP="00E46A5C">
      <w:pPr>
        <w:pStyle w:val="ListParagraph"/>
        <w:numPr>
          <w:ilvl w:val="0"/>
          <w:numId w:val="1"/>
        </w:numPr>
        <w:spacing w:line="360" w:lineRule="auto"/>
        <w:jc w:val="both"/>
      </w:pPr>
      <w:r>
        <w:t xml:space="preserve">Mr Martin clarified that the Council’s change of position on overall planning balance included his judgement that (with the DSO condition in place) the scheme would meet paragraph 125(c) because there would </w:t>
      </w:r>
      <w:r>
        <w:rPr>
          <w:u w:val="single"/>
        </w:rPr>
        <w:t>not</w:t>
      </w:r>
      <w:r>
        <w:t xml:space="preserve"> be, in the Council’s judgement, “s</w:t>
      </w:r>
      <w:r w:rsidR="00FB3CAE">
        <w:t xml:space="preserve">ubstantial harm”. That was an important clarification because it explains why the Council considers that permission should be granted. </w:t>
      </w:r>
    </w:p>
    <w:p w14:paraId="11469F49" w14:textId="77777777" w:rsidR="00FB3CAE" w:rsidRDefault="00FB3CAE" w:rsidP="00FB3CAE">
      <w:pPr>
        <w:pStyle w:val="ListParagraph"/>
      </w:pPr>
    </w:p>
    <w:p w14:paraId="0124E7BF" w14:textId="2DD79145" w:rsidR="00816503" w:rsidRDefault="00FB3CAE" w:rsidP="00E46A5C">
      <w:pPr>
        <w:pStyle w:val="ListParagraph"/>
        <w:numPr>
          <w:ilvl w:val="0"/>
          <w:numId w:val="1"/>
        </w:numPr>
        <w:spacing w:line="360" w:lineRule="auto"/>
        <w:jc w:val="both"/>
      </w:pPr>
      <w:r>
        <w:t xml:space="preserve">It also explains why the Council considers that </w:t>
      </w:r>
      <w:r w:rsidR="00F76C7A">
        <w:t xml:space="preserve">(again, subject to the DSO condition in their view), the scheme would optimise the re-use of the Site. </w:t>
      </w:r>
      <w:r w:rsidR="00085203">
        <w:t xml:space="preserve">Mr Martin was very clear that once (as the Council saw it) the DSO </w:t>
      </w:r>
      <w:r w:rsidR="00255CC3">
        <w:t xml:space="preserve">objection was removed through the imposition of the condition, his concerns about the additional sense of enclosure or over-dominance that </w:t>
      </w:r>
      <w:r w:rsidR="00A84DF1">
        <w:t>residents might experience in their gardens, do not amount (on Mr Martin’s assessment) to sufficiently</w:t>
      </w:r>
      <w:r w:rsidR="00286C1A">
        <w:t xml:space="preserve"> </w:t>
      </w:r>
      <w:r w:rsidR="00A84DF1">
        <w:t xml:space="preserve">negative effects to alter the overall view that permission should be granted. </w:t>
      </w:r>
      <w:r w:rsidR="00816503">
        <w:t xml:space="preserve">That was another important clarification and puts the strength of those views or objections into context. </w:t>
      </w:r>
    </w:p>
    <w:p w14:paraId="7FDB473A" w14:textId="77777777" w:rsidR="00816503" w:rsidRDefault="00816503" w:rsidP="00816503">
      <w:pPr>
        <w:pStyle w:val="ListParagraph"/>
      </w:pPr>
    </w:p>
    <w:p w14:paraId="2A441782" w14:textId="09D98A0B" w:rsidR="00FB3CAE" w:rsidRDefault="00F7010B" w:rsidP="00E46A5C">
      <w:pPr>
        <w:pStyle w:val="ListParagraph"/>
        <w:numPr>
          <w:ilvl w:val="0"/>
          <w:numId w:val="1"/>
        </w:numPr>
        <w:spacing w:line="360" w:lineRule="auto"/>
        <w:jc w:val="both"/>
      </w:pPr>
      <w:r>
        <w:t>Mr Leonard’s evidence shows that the scheme would strike a balance between the buildings and the spaces between them, and also between the proposed buildings and existing neighbours. A great deal of work has gone in to calibrating th</w:t>
      </w:r>
      <w:r w:rsidR="00E660C7">
        <w:t xml:space="preserve">at balance between best use of the Site and sufficient distances, intervening planting and </w:t>
      </w:r>
      <w:r w:rsidR="00786491">
        <w:t>angles.</w:t>
      </w:r>
      <w:r w:rsidR="00BA0F73">
        <w:t xml:space="preserve">  T</w:t>
      </w:r>
      <w:r w:rsidR="00DB11E7">
        <w:t xml:space="preserve">he Illustrative Scheme is, as Mr Leonard made clear, tantamount to the </w:t>
      </w:r>
      <w:r w:rsidR="00BA0F73">
        <w:t>fullest manifestation of the scheme in any event</w:t>
      </w:r>
      <w:r w:rsidR="00085203">
        <w:t>, and</w:t>
      </w:r>
      <w:r w:rsidR="00856796">
        <w:t xml:space="preserve"> there is no residual point to be made under the heading of general design by way of distinction between the PP scheme and the Illustrative Scheme</w:t>
      </w:r>
      <w:r w:rsidR="0039247A">
        <w:t xml:space="preserve">. </w:t>
      </w:r>
      <w:r w:rsidR="00085203">
        <w:t xml:space="preserve"> </w:t>
      </w:r>
      <w:r w:rsidR="0039247A">
        <w:t>It wou</w:t>
      </w:r>
      <w:r w:rsidR="00786491">
        <w:t>ld be a very high</w:t>
      </w:r>
      <w:r w:rsidR="00217CAD">
        <w:t>-</w:t>
      </w:r>
      <w:r w:rsidR="00786491">
        <w:t>quality new piece of townscape in Cambridge.</w:t>
      </w:r>
    </w:p>
    <w:p w14:paraId="1DAB2B1D" w14:textId="77777777" w:rsidR="00CB70A6" w:rsidRDefault="00CB70A6" w:rsidP="00CB70A6">
      <w:pPr>
        <w:pStyle w:val="ListParagraph"/>
      </w:pPr>
    </w:p>
    <w:p w14:paraId="56AE94D9" w14:textId="77777777" w:rsidR="00786491" w:rsidRDefault="00786491" w:rsidP="00CB70A6">
      <w:pPr>
        <w:pStyle w:val="ListParagraph"/>
      </w:pPr>
    </w:p>
    <w:p w14:paraId="17673594" w14:textId="107A9DF2" w:rsidR="00786491" w:rsidRPr="00786491" w:rsidRDefault="00786491" w:rsidP="00CB70A6">
      <w:pPr>
        <w:pStyle w:val="ListParagraph"/>
        <w:rPr>
          <w:i/>
          <w:iCs/>
        </w:rPr>
      </w:pPr>
      <w:r>
        <w:rPr>
          <w:i/>
          <w:iCs/>
        </w:rPr>
        <w:t>Townscape</w:t>
      </w:r>
    </w:p>
    <w:p w14:paraId="42BE9CC6" w14:textId="77777777" w:rsidR="00786491" w:rsidRDefault="00786491" w:rsidP="00CB70A6">
      <w:pPr>
        <w:pStyle w:val="ListParagraph"/>
      </w:pPr>
    </w:p>
    <w:p w14:paraId="145F00A4" w14:textId="77777777" w:rsidR="00EC7EE0" w:rsidRDefault="00EC7EE0" w:rsidP="00CB70A6">
      <w:pPr>
        <w:pStyle w:val="ListParagraph"/>
      </w:pPr>
    </w:p>
    <w:p w14:paraId="793473F9" w14:textId="77777777" w:rsidR="00C76F23" w:rsidRDefault="00786491" w:rsidP="00E46A5C">
      <w:pPr>
        <w:pStyle w:val="ListParagraph"/>
        <w:numPr>
          <w:ilvl w:val="0"/>
          <w:numId w:val="1"/>
        </w:numPr>
        <w:spacing w:line="360" w:lineRule="auto"/>
        <w:jc w:val="both"/>
      </w:pPr>
      <w:r>
        <w:t xml:space="preserve">To some extent, the </w:t>
      </w:r>
      <w:r w:rsidR="00194FE0">
        <w:t xml:space="preserve">only really meaningful point of difference here between the Council and the Applicant (before the Council’s overall position changed) was whether the townscape change </w:t>
      </w:r>
      <w:r w:rsidR="000D3E80">
        <w:t xml:space="preserve">played a role in the </w:t>
      </w:r>
      <w:r w:rsidR="008F5680">
        <w:t>effect on residential amenity</w:t>
      </w:r>
      <w:r w:rsidR="005F16CB">
        <w:t>. Wider townscape changes had not been seen as giving rise to objections in principle</w:t>
      </w:r>
      <w:r w:rsidR="00261864">
        <w:t xml:space="preserve"> (see the quotation above in paragraph [21] from the officers’ report).</w:t>
      </w:r>
    </w:p>
    <w:p w14:paraId="4468B08C" w14:textId="258D2E90" w:rsidR="00C76F23" w:rsidRDefault="00C76F23" w:rsidP="00C76F23">
      <w:pPr>
        <w:pStyle w:val="ListParagraph"/>
        <w:spacing w:line="360" w:lineRule="auto"/>
        <w:jc w:val="both"/>
      </w:pPr>
    </w:p>
    <w:p w14:paraId="36D0D1C1" w14:textId="77777777" w:rsidR="0069088E" w:rsidRDefault="00C76F23" w:rsidP="00E46A5C">
      <w:pPr>
        <w:pStyle w:val="ListParagraph"/>
        <w:numPr>
          <w:ilvl w:val="0"/>
          <w:numId w:val="1"/>
        </w:numPr>
        <w:spacing w:line="360" w:lineRule="auto"/>
        <w:jc w:val="both"/>
      </w:pPr>
      <w:r>
        <w:t xml:space="preserve">Mr Maquire’s evidence reviewed the submitted assessment work and </w:t>
      </w:r>
      <w:r w:rsidR="0069088E">
        <w:t xml:space="preserve">essentially endorsed its findings, though he took a more unitary view of the effects rather than breaking them up into ‘unmitigated’ (ie the PP ‘boxes’) and mitigated (ie the likely effect of the scheme when it came forward at RM stage). His approach is as logical and is clear to follow. </w:t>
      </w:r>
    </w:p>
    <w:p w14:paraId="040BB68E" w14:textId="77777777" w:rsidR="0069088E" w:rsidRDefault="0069088E" w:rsidP="0069088E">
      <w:pPr>
        <w:pStyle w:val="ListParagraph"/>
      </w:pPr>
    </w:p>
    <w:p w14:paraId="538D68A3" w14:textId="0441EEAE" w:rsidR="00CF217D" w:rsidRDefault="0069088E" w:rsidP="00E46A5C">
      <w:pPr>
        <w:pStyle w:val="ListParagraph"/>
        <w:numPr>
          <w:ilvl w:val="0"/>
          <w:numId w:val="1"/>
        </w:numPr>
        <w:spacing w:line="360" w:lineRule="auto"/>
        <w:jc w:val="both"/>
      </w:pPr>
      <w:r>
        <w:t>He finds only a couple of instances of relatively minor townscape harm</w:t>
      </w:r>
      <w:r w:rsidR="00F35602">
        <w:rPr>
          <w:rStyle w:val="FootnoteReference"/>
        </w:rPr>
        <w:footnoteReference w:id="31"/>
      </w:r>
      <w:r>
        <w:t xml:space="preserve">: (1) for those who for a short passage are crossing the middle of Coldham’s Common looking towards the City, and (2) for </w:t>
      </w:r>
      <w:r w:rsidR="00F35602">
        <w:t>nearby residents</w:t>
      </w:r>
      <w:r w:rsidR="006F0267">
        <w:t xml:space="preserve">. As he explained in answer to one of the Inspector’s questions, the basis for this harm was the additional mass </w:t>
      </w:r>
      <w:r w:rsidR="00A04B0A">
        <w:t>and height – causing a slightly more urban experience from the middle of Coldham’s Common and a slightly more intense form of urban scene for those living in the nearby housing.</w:t>
      </w:r>
    </w:p>
    <w:p w14:paraId="1EF2C3A8" w14:textId="77777777" w:rsidR="00A04B0A" w:rsidRDefault="00A04B0A" w:rsidP="00A04B0A">
      <w:pPr>
        <w:pStyle w:val="ListParagraph"/>
      </w:pPr>
    </w:p>
    <w:p w14:paraId="58FC2015" w14:textId="77777777" w:rsidR="00BF5BB4" w:rsidRDefault="00C424B6" w:rsidP="00E46A5C">
      <w:pPr>
        <w:pStyle w:val="ListParagraph"/>
        <w:numPr>
          <w:ilvl w:val="0"/>
          <w:numId w:val="1"/>
        </w:numPr>
        <w:spacing w:line="360" w:lineRule="auto"/>
        <w:jc w:val="both"/>
      </w:pPr>
      <w:r>
        <w:t xml:space="preserve">Given that the Site is generally recognised to constitute poor townscape at the moment, </w:t>
      </w:r>
      <w:r w:rsidR="00925794">
        <w:t xml:space="preserve">and the additional mass or height would be perceived as part of the layered townscape of the City’s urban area, one can perhaps see why Mr Maquire </w:t>
      </w:r>
      <w:r w:rsidR="00441B0A">
        <w:t xml:space="preserve">only judges the harm to be ‘minor’. </w:t>
      </w:r>
      <w:r w:rsidR="00D24771">
        <w:t xml:space="preserve">The layered effect of smaller two storey housing on the edge of Coldham’s Common with the more urban part of the City lying behind and above that housing might equally be thought appropriate to a compact city as sought by the Council in its vision for Cambridge </w:t>
      </w:r>
      <w:r w:rsidR="00BF5BB4">
        <w:t xml:space="preserve">in the adopted plan. </w:t>
      </w:r>
    </w:p>
    <w:p w14:paraId="5B67A4B6" w14:textId="77777777" w:rsidR="00BF5BB4" w:rsidRDefault="00BF5BB4" w:rsidP="00BF5BB4">
      <w:pPr>
        <w:pStyle w:val="ListParagraph"/>
      </w:pPr>
    </w:p>
    <w:p w14:paraId="7CB743E2" w14:textId="521CDB71" w:rsidR="00FF6938" w:rsidRDefault="00BF5BB4" w:rsidP="00E46A5C">
      <w:pPr>
        <w:pStyle w:val="ListParagraph"/>
        <w:numPr>
          <w:ilvl w:val="0"/>
          <w:numId w:val="1"/>
        </w:numPr>
        <w:spacing w:line="360" w:lineRule="auto"/>
        <w:jc w:val="both"/>
      </w:pPr>
      <w:r>
        <w:t xml:space="preserve">Certainly, there is no </w:t>
      </w:r>
      <w:r w:rsidR="0027395E">
        <w:t xml:space="preserve">harm to the townscape </w:t>
      </w:r>
      <w:r w:rsidR="00D87FDA">
        <w:t>of wider Cambridge. Visibility does not amount to harm. The amended scheme as it emerged in mid</w:t>
      </w:r>
      <w:r w:rsidR="00C03B78">
        <w:t>-</w:t>
      </w:r>
      <w:r w:rsidR="00D87FDA">
        <w:t>2024 made a concerted effort to modulate overall height</w:t>
      </w:r>
      <w:r w:rsidR="003367BB">
        <w:t>s and to create a composition which gathered perceptible height in the centre of the site and avoided an unre</w:t>
      </w:r>
      <w:r w:rsidR="00FE1AD1">
        <w:t xml:space="preserve">lieved flat topped mass. The visualisations from Castle Hill Mound, from Redmeadow Hill and from Lime Kiln </w:t>
      </w:r>
      <w:r w:rsidR="003D3A79">
        <w:t xml:space="preserve">Road all show the same effect – an additional feature, on the periphery of urban Cambridge, which </w:t>
      </w:r>
      <w:r w:rsidR="00FF6938">
        <w:t xml:space="preserve">in some views would be seen to break the skyline but which would hardly stand alone in doing so. </w:t>
      </w:r>
    </w:p>
    <w:p w14:paraId="1DB420DA" w14:textId="77777777" w:rsidR="00FF6938" w:rsidRDefault="00FF6938" w:rsidP="00FF6938">
      <w:pPr>
        <w:pStyle w:val="ListParagraph"/>
      </w:pPr>
    </w:p>
    <w:p w14:paraId="044C8E6C" w14:textId="77777777" w:rsidR="00A436B2" w:rsidRDefault="00FF6938" w:rsidP="00E46A5C">
      <w:pPr>
        <w:pStyle w:val="ListParagraph"/>
        <w:numPr>
          <w:ilvl w:val="0"/>
          <w:numId w:val="1"/>
        </w:numPr>
        <w:spacing w:line="360" w:lineRule="auto"/>
        <w:jc w:val="both"/>
      </w:pPr>
      <w:r>
        <w:t xml:space="preserve">The Cambridge skyline is a </w:t>
      </w:r>
      <w:r w:rsidR="00A31776">
        <w:t xml:space="preserve">slightly slippery creature, albeit one which policy seeks to safeguard. It only really manifests itself (the </w:t>
      </w:r>
      <w:r w:rsidR="00901F41">
        <w:t>towers and spires projecting above trees) from those same three viewpoints, one of which (Redmeadow Hi</w:t>
      </w:r>
      <w:r w:rsidR="0041445B">
        <w:t xml:space="preserve">ll) is a very long way away; the application scheme would not dominate the view from those locations, or </w:t>
      </w:r>
      <w:r w:rsidR="00A436B2">
        <w:t>occupy anything more than a clear position on the periphery of the City where new development is already clearly perceived.</w:t>
      </w:r>
    </w:p>
    <w:p w14:paraId="0800811B" w14:textId="77777777" w:rsidR="00A436B2" w:rsidRDefault="00A436B2" w:rsidP="00A436B2">
      <w:pPr>
        <w:pStyle w:val="ListParagraph"/>
      </w:pPr>
    </w:p>
    <w:p w14:paraId="4FA2430A" w14:textId="274E02B3" w:rsidR="00A04B0A" w:rsidRDefault="00A436B2" w:rsidP="00E46A5C">
      <w:pPr>
        <w:pStyle w:val="ListParagraph"/>
        <w:numPr>
          <w:ilvl w:val="0"/>
          <w:numId w:val="1"/>
        </w:numPr>
        <w:spacing w:line="360" w:lineRule="auto"/>
        <w:jc w:val="both"/>
      </w:pPr>
      <w:r>
        <w:t xml:space="preserve">Of huge importance is the quality and distinctiveness of what would be seen. </w:t>
      </w:r>
      <w:r w:rsidR="004B0FCF">
        <w:t>Here the Design Code is critical, and the way that the flues are grouped and designed. They are the marker of the Life Sciences nature of the scheme, and of 21</w:t>
      </w:r>
      <w:r w:rsidR="004B0FCF" w:rsidRPr="004B0FCF">
        <w:rPr>
          <w:vertAlign w:val="superscript"/>
        </w:rPr>
        <w:t>st</w:t>
      </w:r>
      <w:r w:rsidR="004B0FCF">
        <w:t xml:space="preserve"> Century Cambridge – several notable examples already exist in Cambridge, as Mr Maquire observed, and to the extent that the scheme would be perceived in those wider views, the flues and the massing of the buildings will clearly announce the nature of the scheme, reinforcing legibility of the City and its special identity (and value to the country). </w:t>
      </w:r>
      <w:r w:rsidR="00F43D06">
        <w:t xml:space="preserve">It is a good example of why visibility of new development is not always to be treated as an adverse impact, </w:t>
      </w:r>
      <w:r w:rsidR="007B098E">
        <w:t>as the Institute’s guidance itself makes clear</w:t>
      </w:r>
      <w:r w:rsidR="00641AFD">
        <w:t>, even where there is a change to existing character</w:t>
      </w:r>
      <w:r w:rsidR="00641AFD">
        <w:rPr>
          <w:rStyle w:val="FootnoteReference"/>
        </w:rPr>
        <w:footnoteReference w:id="32"/>
      </w:r>
      <w:r w:rsidR="00441B0A">
        <w:t xml:space="preserve"> </w:t>
      </w:r>
      <w:r w:rsidR="00B40C69">
        <w:t>- here, it is not the case that Life Sciences buildings with larger mass and a characteristic skyline would be new and alien to Cambridge – they are already part of its character.</w:t>
      </w:r>
    </w:p>
    <w:p w14:paraId="03748413" w14:textId="77777777" w:rsidR="00B40C69" w:rsidRDefault="00B40C69" w:rsidP="00B40C69">
      <w:pPr>
        <w:pStyle w:val="ListParagraph"/>
      </w:pPr>
    </w:p>
    <w:p w14:paraId="3C438A01" w14:textId="70F5093B" w:rsidR="00CB70A6" w:rsidRDefault="00B40C69" w:rsidP="00E46A5C">
      <w:pPr>
        <w:pStyle w:val="ListParagraph"/>
        <w:numPr>
          <w:ilvl w:val="0"/>
          <w:numId w:val="1"/>
        </w:numPr>
        <w:spacing w:line="360" w:lineRule="auto"/>
        <w:jc w:val="both"/>
      </w:pPr>
      <w:r>
        <w:t xml:space="preserve">Putting those key summary points in context, the scheme would in Mr Maquire’s judgement </w:t>
      </w:r>
      <w:r w:rsidR="003F1F57">
        <w:t>comply with paragraph 135 of the NPPF</w:t>
      </w:r>
      <w:r w:rsidR="003F1F57">
        <w:rPr>
          <w:rStyle w:val="FootnoteReference"/>
        </w:rPr>
        <w:footnoteReference w:id="33"/>
      </w:r>
      <w:r w:rsidR="00746BD1">
        <w:t xml:space="preserve">, which requires development to be </w:t>
      </w:r>
      <w:r w:rsidR="00CB70A6">
        <w:t>“</w:t>
      </w:r>
      <w:r w:rsidR="00CB70A6" w:rsidRPr="00746BD1">
        <w:rPr>
          <w:i/>
          <w:iCs/>
        </w:rPr>
        <w:t>sympathetic to local character and history, including the surrounding built environment and landscape setting, while not preventing or discouraging appropriate innovation or change (such as increased densities)”</w:t>
      </w:r>
      <w:r w:rsidR="00746BD1">
        <w:t xml:space="preserve">.  </w:t>
      </w:r>
    </w:p>
    <w:p w14:paraId="513EC862" w14:textId="77777777" w:rsidR="00746BD1" w:rsidRDefault="00746BD1" w:rsidP="00746BD1">
      <w:pPr>
        <w:pStyle w:val="ListParagraph"/>
      </w:pPr>
    </w:p>
    <w:p w14:paraId="39CF908D" w14:textId="77777777" w:rsidR="00487735" w:rsidRDefault="00632EAF" w:rsidP="00E46A5C">
      <w:pPr>
        <w:pStyle w:val="ListParagraph"/>
        <w:numPr>
          <w:ilvl w:val="0"/>
          <w:numId w:val="1"/>
        </w:numPr>
        <w:spacing w:line="360" w:lineRule="auto"/>
        <w:jc w:val="both"/>
      </w:pPr>
      <w:r>
        <w:t>He also consequently finds that the proposals would accord with Policy 57 of the adopted Local Plan</w:t>
      </w:r>
      <w:r>
        <w:rPr>
          <w:rStyle w:val="FootnoteReference"/>
        </w:rPr>
        <w:footnoteReference w:id="34"/>
      </w:r>
      <w:r w:rsidR="009631BE">
        <w:t xml:space="preserve">, since the scheme would have an overwhelmingly positive effect on its setting in terms of height, scale and form, materials and detailing, ground floor activity and wider townscape and landscape impacts. He finds that Policy 60 of the adopted plan would be </w:t>
      </w:r>
      <w:r w:rsidR="00612288">
        <w:t>met</w:t>
      </w:r>
      <w:r w:rsidR="00612288">
        <w:rPr>
          <w:rStyle w:val="FootnoteReference"/>
        </w:rPr>
        <w:footnoteReference w:id="35"/>
      </w:r>
      <w:r w:rsidR="00612288">
        <w:t>.</w:t>
      </w:r>
    </w:p>
    <w:p w14:paraId="6AE93C26" w14:textId="77777777" w:rsidR="00487735" w:rsidRDefault="00487735" w:rsidP="00487735">
      <w:pPr>
        <w:pStyle w:val="ListParagraph"/>
      </w:pPr>
    </w:p>
    <w:p w14:paraId="55C39FB2" w14:textId="77777777" w:rsidR="00487735" w:rsidRDefault="00487735" w:rsidP="00487735">
      <w:pPr>
        <w:pStyle w:val="ListParagraph"/>
      </w:pPr>
    </w:p>
    <w:p w14:paraId="3A748A5F" w14:textId="77777777" w:rsidR="00487735" w:rsidRDefault="00487735" w:rsidP="00487735">
      <w:pPr>
        <w:pStyle w:val="ListParagraph"/>
      </w:pPr>
    </w:p>
    <w:p w14:paraId="5EB744F1" w14:textId="008644DA" w:rsidR="00487735" w:rsidRPr="00487735" w:rsidRDefault="00487735" w:rsidP="00487735">
      <w:pPr>
        <w:pStyle w:val="ListParagraph"/>
        <w:rPr>
          <w:i/>
          <w:iCs/>
        </w:rPr>
      </w:pPr>
      <w:r>
        <w:rPr>
          <w:i/>
          <w:iCs/>
        </w:rPr>
        <w:t>Heritage</w:t>
      </w:r>
    </w:p>
    <w:p w14:paraId="2C4B1797" w14:textId="77777777" w:rsidR="00487735" w:rsidRDefault="00487735" w:rsidP="00487735">
      <w:pPr>
        <w:pStyle w:val="ListParagraph"/>
      </w:pPr>
    </w:p>
    <w:p w14:paraId="6837A41F" w14:textId="77777777" w:rsidR="0027741A" w:rsidRDefault="0027741A" w:rsidP="00487735">
      <w:pPr>
        <w:pStyle w:val="ListParagraph"/>
      </w:pPr>
    </w:p>
    <w:p w14:paraId="7C472AB8" w14:textId="226F616F" w:rsidR="00746BD1" w:rsidRDefault="00487735" w:rsidP="00E46A5C">
      <w:pPr>
        <w:pStyle w:val="ListParagraph"/>
        <w:numPr>
          <w:ilvl w:val="0"/>
          <w:numId w:val="1"/>
        </w:numPr>
        <w:spacing w:line="360" w:lineRule="auto"/>
        <w:jc w:val="both"/>
      </w:pPr>
      <w:r>
        <w:t>Turning to the effect of the application proposals on designated and other heritage assets, Mr Handforth</w:t>
      </w:r>
      <w:r w:rsidR="00871087">
        <w:t>’s assessment was very similar to that of Mr Maquire, in that he found a set of very low Less than Substantial Harms</w:t>
      </w:r>
      <w:r w:rsidR="00C17AF2">
        <w:rPr>
          <w:rStyle w:val="FootnoteReference"/>
        </w:rPr>
        <w:footnoteReference w:id="36"/>
      </w:r>
      <w:r w:rsidR="009631BE">
        <w:t xml:space="preserve"> </w:t>
      </w:r>
      <w:r w:rsidR="00A50849">
        <w:t xml:space="preserve">to be caused by the application proposals, to </w:t>
      </w:r>
      <w:r w:rsidR="00D67731">
        <w:t xml:space="preserve">six assets. </w:t>
      </w:r>
    </w:p>
    <w:p w14:paraId="7680E61A" w14:textId="69B7E25B" w:rsidR="00D67731" w:rsidRDefault="00D67731" w:rsidP="00D67731">
      <w:pPr>
        <w:pStyle w:val="ListParagraph"/>
        <w:spacing w:line="360" w:lineRule="auto"/>
        <w:jc w:val="both"/>
      </w:pPr>
    </w:p>
    <w:p w14:paraId="3AF4024B" w14:textId="09D01FAC" w:rsidR="00D67731" w:rsidRDefault="00D67731" w:rsidP="00E46A5C">
      <w:pPr>
        <w:pStyle w:val="ListParagraph"/>
        <w:numPr>
          <w:ilvl w:val="0"/>
          <w:numId w:val="1"/>
        </w:numPr>
        <w:spacing w:line="360" w:lineRule="auto"/>
        <w:jc w:val="both"/>
      </w:pPr>
      <w:r>
        <w:t xml:space="preserve">The reason for the harm was very similar – it relates to the intrusion of the scheme into views in which the asset in question also appears, and to some very limited extent distracts </w:t>
      </w:r>
      <w:r w:rsidR="00D338EB">
        <w:t xml:space="preserve">from it. The only near-at-hand heritage impact is the one Mr Handforth finds to the Mill Road Conservation Area, as seen from the junction of York Street and </w:t>
      </w:r>
      <w:r w:rsidR="003319EB">
        <w:t>Ainsworth Street</w:t>
      </w:r>
      <w:r w:rsidR="003319EB">
        <w:rPr>
          <w:rStyle w:val="FootnoteReference"/>
        </w:rPr>
        <w:footnoteReference w:id="37"/>
      </w:r>
      <w:r w:rsidR="002A604A">
        <w:t xml:space="preserve">. Two, perhaps three, of the proposed buildings would be seen in this one view (they </w:t>
      </w:r>
      <w:r w:rsidR="00110795">
        <w:t xml:space="preserve">would be very largely </w:t>
      </w:r>
      <w:r w:rsidR="002A604A">
        <w:t>invisible from the majority of the CA</w:t>
      </w:r>
      <w:r w:rsidR="00110795">
        <w:rPr>
          <w:rStyle w:val="FootnoteReference"/>
        </w:rPr>
        <w:footnoteReference w:id="38"/>
      </w:r>
      <w:r w:rsidR="002A604A">
        <w:t>)</w:t>
      </w:r>
      <w:r w:rsidR="00970C18">
        <w:t xml:space="preserve">; they would not overtop the roofs of the housing but would occupy an area which, if hardly beneficial currently to the CA, is </w:t>
      </w:r>
      <w:r w:rsidR="00D50670">
        <w:t>relatively recessive as thing stand. Again, one can see why Mr Handforth only finds the very lowest level of Less than Substantial harm.</w:t>
      </w:r>
    </w:p>
    <w:p w14:paraId="6DD624DE" w14:textId="77777777" w:rsidR="00D50670" w:rsidRDefault="00D50670" w:rsidP="00D50670">
      <w:pPr>
        <w:pStyle w:val="ListParagraph"/>
      </w:pPr>
    </w:p>
    <w:p w14:paraId="01246F80" w14:textId="5AE0E379" w:rsidR="00D50670" w:rsidRDefault="00D50670" w:rsidP="00E46A5C">
      <w:pPr>
        <w:pStyle w:val="ListParagraph"/>
        <w:numPr>
          <w:ilvl w:val="0"/>
          <w:numId w:val="1"/>
        </w:numPr>
        <w:spacing w:line="360" w:lineRule="auto"/>
        <w:jc w:val="both"/>
      </w:pPr>
      <w:r>
        <w:t xml:space="preserve">The </w:t>
      </w:r>
      <w:r w:rsidR="00615D81">
        <w:t xml:space="preserve">other five instances of very low or negligible Less than Substantial Harm are all from </w:t>
      </w:r>
      <w:r w:rsidR="0015159F">
        <w:t>Castle Hill Mound (the individual assets are only really seen along with the scheme in this view)</w:t>
      </w:r>
      <w:r w:rsidR="00DC1647">
        <w:t xml:space="preserve">. As Mr Handforth said, and will have been appreciable on site, the view from Castle Hill Mound is a large panorama in which the majority of the assets lie straight ahead in the view, whilst the scheme lies to the left, in a peripheral position. </w:t>
      </w:r>
      <w:r w:rsidR="00C51835">
        <w:t>It would be clearly distinct from those assets, and also clearly legible as a piece of 21</w:t>
      </w:r>
      <w:r w:rsidR="00C51835" w:rsidRPr="00C51835">
        <w:rPr>
          <w:vertAlign w:val="superscript"/>
        </w:rPr>
        <w:t>st</w:t>
      </w:r>
      <w:r w:rsidR="00C51835">
        <w:t xml:space="preserve"> Century Cambridge, and therefore if there is harm as Mr Handforth finds, it is at the very lowest end of the spectrum, hardly interfering in any perceptible way with what is of value, or significance, in those assets.</w:t>
      </w:r>
    </w:p>
    <w:p w14:paraId="41978F83" w14:textId="77777777" w:rsidR="00DC3EA9" w:rsidRDefault="00DC3EA9" w:rsidP="00DC3EA9">
      <w:pPr>
        <w:pStyle w:val="ListParagraph"/>
      </w:pPr>
    </w:p>
    <w:p w14:paraId="6D3C6910" w14:textId="05FCDC03" w:rsidR="00DC3EA9" w:rsidRDefault="00DC3EA9" w:rsidP="00E46A5C">
      <w:pPr>
        <w:pStyle w:val="ListParagraph"/>
        <w:numPr>
          <w:ilvl w:val="0"/>
          <w:numId w:val="1"/>
        </w:numPr>
        <w:spacing w:line="360" w:lineRule="auto"/>
        <w:jc w:val="both"/>
      </w:pPr>
      <w:r>
        <w:t xml:space="preserve">The Council’s evidence, though not capable (even if the Council had maintained an overall objection) of being tested through cross-examination, </w:t>
      </w:r>
      <w:r w:rsidR="0008760C">
        <w:t>suggests that</w:t>
      </w:r>
      <w:r>
        <w:t xml:space="preserve"> (a) some more </w:t>
      </w:r>
      <w:r w:rsidR="0008760C">
        <w:t xml:space="preserve">assets would be harmed by the scheme, (b) that the degree of harm to the six identified assets would be slightly greater than the Applicant maintains, and (c) that there would be something referred to as ‘cumulative’ harm. </w:t>
      </w:r>
    </w:p>
    <w:p w14:paraId="41FAC9A1" w14:textId="77777777" w:rsidR="0008760C" w:rsidRDefault="0008760C" w:rsidP="0008760C">
      <w:pPr>
        <w:pStyle w:val="ListParagraph"/>
      </w:pPr>
    </w:p>
    <w:p w14:paraId="6956CCC6" w14:textId="46C6D5F4" w:rsidR="0008760C" w:rsidRDefault="0008760C" w:rsidP="00E46A5C">
      <w:pPr>
        <w:pStyle w:val="ListParagraph"/>
        <w:numPr>
          <w:ilvl w:val="0"/>
          <w:numId w:val="1"/>
        </w:numPr>
        <w:spacing w:line="360" w:lineRule="auto"/>
        <w:jc w:val="both"/>
      </w:pPr>
      <w:r>
        <w:t>None of those points is tenable as Mr Handforth points out in his evidence</w:t>
      </w:r>
      <w:r>
        <w:rPr>
          <w:rStyle w:val="FootnoteReference"/>
        </w:rPr>
        <w:footnoteReference w:id="39"/>
      </w:r>
      <w:r>
        <w:t>.</w:t>
      </w:r>
    </w:p>
    <w:p w14:paraId="1FA2062A" w14:textId="77777777" w:rsidR="00951CED" w:rsidRDefault="00951CED" w:rsidP="00951CED">
      <w:pPr>
        <w:pStyle w:val="ListParagraph"/>
      </w:pPr>
    </w:p>
    <w:p w14:paraId="4D5060E5" w14:textId="6DBB0108" w:rsidR="00951CED" w:rsidRDefault="00951CED" w:rsidP="00E46A5C">
      <w:pPr>
        <w:pStyle w:val="ListParagraph"/>
        <w:numPr>
          <w:ilvl w:val="0"/>
          <w:numId w:val="1"/>
        </w:numPr>
        <w:spacing w:line="360" w:lineRule="auto"/>
        <w:jc w:val="both"/>
      </w:pPr>
      <w:r>
        <w:t xml:space="preserve">Therefore whilst the conservation of the significance of these highly-graded designated assets </w:t>
      </w:r>
      <w:r w:rsidR="00D409D9">
        <w:t xml:space="preserve">is something to </w:t>
      </w:r>
      <w:r w:rsidR="00FB454C">
        <w:t xml:space="preserve">which great weight should be given, the degree of harm here would be at worst </w:t>
      </w:r>
      <w:r w:rsidR="00E509DF">
        <w:t>very low indeed in the Less than Substantial Harm spectrum. It is agreed between the parties that it would be outweighed by the scheme’s public benefits</w:t>
      </w:r>
      <w:r w:rsidR="00B907F5">
        <w:rPr>
          <w:rStyle w:val="FootnoteReference"/>
        </w:rPr>
        <w:footnoteReference w:id="40"/>
      </w:r>
      <w:r w:rsidR="00E509DF">
        <w:t>.</w:t>
      </w:r>
    </w:p>
    <w:p w14:paraId="085A67A4" w14:textId="77777777" w:rsidR="00B907F5" w:rsidRDefault="00B907F5" w:rsidP="00B907F5">
      <w:pPr>
        <w:pStyle w:val="ListParagraph"/>
      </w:pPr>
    </w:p>
    <w:p w14:paraId="0F818A30" w14:textId="77777777" w:rsidR="00EF42B3" w:rsidRDefault="00B907F5" w:rsidP="00E46A5C">
      <w:pPr>
        <w:pStyle w:val="ListParagraph"/>
        <w:numPr>
          <w:ilvl w:val="0"/>
          <w:numId w:val="1"/>
        </w:numPr>
        <w:spacing w:line="360" w:lineRule="auto"/>
        <w:jc w:val="both"/>
      </w:pPr>
      <w:r>
        <w:t>There is no Non Designated Heritage Asset identified by the Council in any list or even as a matter of judgement through the process of this application. The Porcelanosa building, whilst having a certain idiosyncratic charm, is a recent commercial building with</w:t>
      </w:r>
      <w:r w:rsidR="00461428">
        <w:t xml:space="preserve">out identifiable design or heritage significance (ie </w:t>
      </w:r>
      <w:r w:rsidR="00EF42B3">
        <w:t xml:space="preserve">there </w:t>
      </w:r>
      <w:r w:rsidR="00461428">
        <w:t xml:space="preserve">nothing to set it apart in terms of architectural quality, history, </w:t>
      </w:r>
      <w:r w:rsidR="00AB3EBA">
        <w:t>materials or technique). Mr Kaddish did not think that it was a NDHA</w:t>
      </w:r>
      <w:r w:rsidR="00AB3EBA">
        <w:rPr>
          <w:rStyle w:val="FootnoteReference"/>
        </w:rPr>
        <w:footnoteReference w:id="41"/>
      </w:r>
      <w:r w:rsidR="00AB3EBA">
        <w:t>.</w:t>
      </w:r>
    </w:p>
    <w:p w14:paraId="779F18AB" w14:textId="77777777" w:rsidR="00EF42B3" w:rsidRDefault="00EF42B3" w:rsidP="00EF42B3">
      <w:pPr>
        <w:pStyle w:val="ListParagraph"/>
      </w:pPr>
    </w:p>
    <w:p w14:paraId="26C6246B" w14:textId="77777777" w:rsidR="00EF42B3" w:rsidRDefault="00EF42B3" w:rsidP="00EF42B3">
      <w:pPr>
        <w:pStyle w:val="ListParagraph"/>
      </w:pPr>
    </w:p>
    <w:p w14:paraId="52A0A993" w14:textId="77777777" w:rsidR="00EF42B3" w:rsidRDefault="00EF42B3" w:rsidP="00EF42B3">
      <w:pPr>
        <w:pStyle w:val="ListParagraph"/>
      </w:pPr>
    </w:p>
    <w:p w14:paraId="3A814E22" w14:textId="37C34064" w:rsidR="00EF42B3" w:rsidRPr="00EF42B3" w:rsidRDefault="00EF42B3" w:rsidP="00EF42B3">
      <w:pPr>
        <w:pStyle w:val="ListParagraph"/>
        <w:rPr>
          <w:i/>
          <w:iCs/>
        </w:rPr>
      </w:pPr>
      <w:r>
        <w:rPr>
          <w:i/>
          <w:iCs/>
        </w:rPr>
        <w:t xml:space="preserve">DSO and outlook </w:t>
      </w:r>
    </w:p>
    <w:p w14:paraId="30C9E6AF" w14:textId="77777777" w:rsidR="00EF42B3" w:rsidRDefault="00EF42B3" w:rsidP="00EF42B3">
      <w:pPr>
        <w:pStyle w:val="ListParagraph"/>
      </w:pPr>
    </w:p>
    <w:p w14:paraId="52FFF972" w14:textId="77777777" w:rsidR="0027741A" w:rsidRDefault="0027741A" w:rsidP="00EF42B3">
      <w:pPr>
        <w:pStyle w:val="ListParagraph"/>
      </w:pPr>
    </w:p>
    <w:p w14:paraId="7FC37487" w14:textId="41CA94FA" w:rsidR="00B907F5" w:rsidRDefault="00AB3EBA" w:rsidP="00E46A5C">
      <w:pPr>
        <w:pStyle w:val="ListParagraph"/>
        <w:numPr>
          <w:ilvl w:val="0"/>
          <w:numId w:val="1"/>
        </w:numPr>
        <w:spacing w:line="360" w:lineRule="auto"/>
        <w:jc w:val="both"/>
      </w:pPr>
      <w:r>
        <w:t xml:space="preserve"> </w:t>
      </w:r>
      <w:r w:rsidR="00EF42B3">
        <w:t xml:space="preserve">Obviously the terms of the debate </w:t>
      </w:r>
      <w:r w:rsidR="0027741A">
        <w:t>on this point</w:t>
      </w:r>
      <w:r w:rsidR="00EF42B3">
        <w:t xml:space="preserve"> have radically altered since the Council’s position statement of 25 June. </w:t>
      </w:r>
    </w:p>
    <w:p w14:paraId="193EA0EA" w14:textId="2EEDED97" w:rsidR="00493D4B" w:rsidRDefault="00493D4B" w:rsidP="00493D4B">
      <w:pPr>
        <w:pStyle w:val="ListParagraph"/>
        <w:spacing w:line="360" w:lineRule="auto"/>
        <w:jc w:val="both"/>
      </w:pPr>
    </w:p>
    <w:p w14:paraId="24831B51" w14:textId="343A8B21" w:rsidR="00493D4B" w:rsidRDefault="00493D4B" w:rsidP="00E46A5C">
      <w:pPr>
        <w:pStyle w:val="ListParagraph"/>
        <w:numPr>
          <w:ilvl w:val="0"/>
          <w:numId w:val="1"/>
        </w:numPr>
        <w:spacing w:line="360" w:lineRule="auto"/>
        <w:jc w:val="both"/>
      </w:pPr>
      <w:r>
        <w:t xml:space="preserve">It is agreed that the effects of the Illustrative Scheme on neighbours in DSO terms would be acceptable – agreed in the sense that the Applicant has always held that view and the Council have now accepted it. </w:t>
      </w:r>
    </w:p>
    <w:p w14:paraId="138D85C5" w14:textId="77777777" w:rsidR="00493D4B" w:rsidRDefault="00493D4B" w:rsidP="00493D4B">
      <w:pPr>
        <w:pStyle w:val="ListParagraph"/>
      </w:pPr>
    </w:p>
    <w:p w14:paraId="656C349A" w14:textId="3CEEA28C" w:rsidR="001F28D6" w:rsidRDefault="00517ECE" w:rsidP="00700165">
      <w:pPr>
        <w:pStyle w:val="ListParagraph"/>
        <w:numPr>
          <w:ilvl w:val="0"/>
          <w:numId w:val="1"/>
        </w:numPr>
        <w:spacing w:line="360" w:lineRule="auto"/>
        <w:jc w:val="both"/>
      </w:pPr>
      <w:r>
        <w:t>Mr Lonergan, who carried out the modelling of the effects (all now agreed</w:t>
      </w:r>
      <w:r w:rsidR="001F28D6">
        <w:t xml:space="preserve"> in terms of numerical values), has throughout the process been of the view that the Illustrative Scheme effects in DSO terms are acceptable</w:t>
      </w:r>
      <w:r w:rsidR="00700165">
        <w:t xml:space="preserve">.  </w:t>
      </w:r>
      <w:r w:rsidR="001F28D6">
        <w:t xml:space="preserve">The vast majority of windows, rooms and gardens tested do not give rise to effects which go beyond the BRE </w:t>
      </w:r>
      <w:r w:rsidR="00A855FF">
        <w:t>default values (and therefore by definition would not require further examination, let alone justification)</w:t>
      </w:r>
      <w:r w:rsidR="003B2973">
        <w:rPr>
          <w:rStyle w:val="FootnoteReference"/>
        </w:rPr>
        <w:footnoteReference w:id="42"/>
      </w:r>
      <w:r w:rsidR="00700165">
        <w:t xml:space="preserve">. </w:t>
      </w:r>
    </w:p>
    <w:p w14:paraId="1D7C9529" w14:textId="77777777" w:rsidR="001F28D6" w:rsidRDefault="001F28D6" w:rsidP="001F28D6">
      <w:pPr>
        <w:pStyle w:val="ListParagraph"/>
      </w:pPr>
    </w:p>
    <w:p w14:paraId="084020EA" w14:textId="77777777" w:rsidR="001F28D6" w:rsidRDefault="001F28D6" w:rsidP="001F28D6">
      <w:pPr>
        <w:pStyle w:val="ListParagraph"/>
      </w:pPr>
    </w:p>
    <w:p w14:paraId="3E064B39" w14:textId="3FEACC01" w:rsidR="000543D0" w:rsidRDefault="00700165" w:rsidP="000543D0">
      <w:pPr>
        <w:pStyle w:val="ListParagraph"/>
        <w:numPr>
          <w:ilvl w:val="0"/>
          <w:numId w:val="1"/>
        </w:numPr>
        <w:spacing w:line="360" w:lineRule="auto"/>
        <w:jc w:val="both"/>
      </w:pPr>
      <w:r>
        <w:t>When one looks at the low number of</w:t>
      </w:r>
      <w:r w:rsidR="007104B6">
        <w:t xml:space="preserve"> results (in the Illustrative Scheme modelling) that would fall below the BRE figure, it is no surprise that the Council now take the view that </w:t>
      </w:r>
      <w:r w:rsidR="000543D0">
        <w:t>they would be acceptable.  At the very least, the DSO condition simply removes this issue as one going to whether permission should be granted for the scheme.</w:t>
      </w:r>
    </w:p>
    <w:p w14:paraId="78BAE2D8" w14:textId="05146763" w:rsidR="000543D0" w:rsidRDefault="000543D0" w:rsidP="000543D0">
      <w:pPr>
        <w:pStyle w:val="ListParagraph"/>
        <w:spacing w:line="360" w:lineRule="auto"/>
        <w:jc w:val="both"/>
      </w:pPr>
    </w:p>
    <w:p w14:paraId="6AB21756" w14:textId="77777777" w:rsidR="00D92C5F" w:rsidRDefault="000543D0" w:rsidP="000543D0">
      <w:pPr>
        <w:pStyle w:val="ListParagraph"/>
        <w:numPr>
          <w:ilvl w:val="0"/>
          <w:numId w:val="1"/>
        </w:numPr>
        <w:spacing w:line="360" w:lineRule="auto"/>
        <w:jc w:val="both"/>
      </w:pPr>
      <w:r>
        <w:t xml:space="preserve">However, </w:t>
      </w:r>
      <w:r w:rsidR="00773D96">
        <w:t>whilst recognising the pragmatism with which the Council has now acted in relation to what had hitherto been a “decisive” objection</w:t>
      </w:r>
      <w:r w:rsidR="00773D96">
        <w:rPr>
          <w:rStyle w:val="FootnoteReference"/>
        </w:rPr>
        <w:footnoteReference w:id="43"/>
      </w:r>
      <w:r w:rsidR="00D92C5F">
        <w:t xml:space="preserve">, it would not be fair to the Applicant to glide over the change in position without reflecting on it even for a minute. </w:t>
      </w:r>
      <w:r w:rsidR="00666A07">
        <w:t xml:space="preserve"> </w:t>
      </w:r>
    </w:p>
    <w:p w14:paraId="4D361E99" w14:textId="77777777" w:rsidR="00D92C5F" w:rsidRDefault="00D92C5F" w:rsidP="00D92C5F">
      <w:pPr>
        <w:pStyle w:val="ListParagraph"/>
      </w:pPr>
    </w:p>
    <w:p w14:paraId="635749F6" w14:textId="12A4AD3C" w:rsidR="000543D0" w:rsidRDefault="00D92C5F" w:rsidP="000543D0">
      <w:pPr>
        <w:pStyle w:val="ListParagraph"/>
        <w:numPr>
          <w:ilvl w:val="0"/>
          <w:numId w:val="1"/>
        </w:numPr>
        <w:spacing w:line="360" w:lineRule="auto"/>
        <w:jc w:val="both"/>
      </w:pPr>
      <w:r>
        <w:t>After all, t</w:t>
      </w:r>
      <w:r w:rsidR="00666A07">
        <w:t xml:space="preserve">he Council’s acceptance </w:t>
      </w:r>
      <w:r>
        <w:t xml:space="preserve">of the DSO condition </w:t>
      </w:r>
      <w:r w:rsidR="00666A07">
        <w:t xml:space="preserve">at the inquiry </w:t>
      </w:r>
      <w:r w:rsidR="00302D42">
        <w:t xml:space="preserve">did not proceed from any change to the evidence which the Council had when it wrote its proofs of evidence </w:t>
      </w:r>
      <w:r w:rsidR="00C97059">
        <w:t xml:space="preserve">five or so weeks ago, as Mr Martin clarified. It seems to have been prompted by the </w:t>
      </w:r>
      <w:r w:rsidR="007A17A7">
        <w:t xml:space="preserve">entirely unsurprising question that was put </w:t>
      </w:r>
      <w:r w:rsidR="00275CCA">
        <w:t xml:space="preserve">by the Inspector </w:t>
      </w:r>
      <w:r w:rsidR="007A17A7">
        <w:t>to the</w:t>
      </w:r>
      <w:r w:rsidR="00B93CF4">
        <w:t xml:space="preserve"> planning committee Councillor who spoke on day 1. No, she confirmed, the Councillors had not looked at the merits of the scheme in the light of the Illustrative Scheme DSO results, because they believed the DSO scheme not to be that to which permission would attach. </w:t>
      </w:r>
      <w:r w:rsidR="00311B30">
        <w:t xml:space="preserve">I return to that in a moment. But the </w:t>
      </w:r>
      <w:r w:rsidR="00275CCA">
        <w:t xml:space="preserve">first </w:t>
      </w:r>
      <w:r w:rsidR="00311B30">
        <w:t xml:space="preserve">point </w:t>
      </w:r>
      <w:r w:rsidR="00275CCA">
        <w:t xml:space="preserve">I make here </w:t>
      </w:r>
      <w:r w:rsidR="00311B30">
        <w:t>is that the Council wrote its evidence</w:t>
      </w:r>
      <w:r w:rsidR="0033642C">
        <w:t xml:space="preserve"> on the basis of Mr Dias’ judgement that nothing less than a default compliance with the BRE 27% retained VSC would be acceptable</w:t>
      </w:r>
      <w:r w:rsidR="002A54F2">
        <w:t>.</w:t>
      </w:r>
    </w:p>
    <w:p w14:paraId="0848F5C7" w14:textId="77777777" w:rsidR="002A54F2" w:rsidRDefault="002A54F2" w:rsidP="002A54F2">
      <w:pPr>
        <w:pStyle w:val="ListParagraph"/>
      </w:pPr>
    </w:p>
    <w:p w14:paraId="3B0AB445" w14:textId="65F84056" w:rsidR="00161A6D" w:rsidRDefault="00275CCA" w:rsidP="000543D0">
      <w:pPr>
        <w:pStyle w:val="ListParagraph"/>
        <w:numPr>
          <w:ilvl w:val="0"/>
          <w:numId w:val="1"/>
        </w:numPr>
        <w:spacing w:line="360" w:lineRule="auto"/>
        <w:jc w:val="both"/>
      </w:pPr>
      <w:r>
        <w:t xml:space="preserve">The second point is that the </w:t>
      </w:r>
      <w:r w:rsidR="00A805D1">
        <w:t>Council rejected the idea of a condition based on Illustrative Scheme modelled effects because they said those effects were still unacceptable</w:t>
      </w:r>
      <w:r w:rsidR="00A805D1">
        <w:rPr>
          <w:rStyle w:val="FootnoteReference"/>
        </w:rPr>
        <w:footnoteReference w:id="44"/>
      </w:r>
      <w:r w:rsidR="00A805D1">
        <w:t>.</w:t>
      </w:r>
      <w:r w:rsidR="001221BB">
        <w:t xml:space="preserve"> </w:t>
      </w:r>
      <w:r w:rsidR="00B750C5">
        <w:t xml:space="preserve">In order to find them unacceptable one assumes that the officers felt that they could understand them.  </w:t>
      </w:r>
      <w:r w:rsidR="00161A6D">
        <w:t>Mr Dias was presumably not involved in that exercise as he tells the inquiry in his proof that he has not assessed the acceptability of the Illustrative Scheme – so it appears to have been an officer view which now, at the inquiry, the Council finds that it cannot defend.</w:t>
      </w:r>
    </w:p>
    <w:p w14:paraId="24B2A10C" w14:textId="77777777" w:rsidR="00161A6D" w:rsidRDefault="00161A6D" w:rsidP="00161A6D">
      <w:pPr>
        <w:pStyle w:val="ListParagraph"/>
      </w:pPr>
    </w:p>
    <w:p w14:paraId="025EC219" w14:textId="7E6D1D51" w:rsidR="002A54F2" w:rsidRDefault="002A54F2" w:rsidP="000543D0">
      <w:pPr>
        <w:pStyle w:val="ListParagraph"/>
        <w:numPr>
          <w:ilvl w:val="0"/>
          <w:numId w:val="1"/>
        </w:numPr>
        <w:spacing w:line="360" w:lineRule="auto"/>
        <w:jc w:val="both"/>
      </w:pPr>
      <w:r>
        <w:t xml:space="preserve">As Mr Lonergan’s evidence shows, there are a number of instances where the retained VSC in the Illustrative </w:t>
      </w:r>
      <w:r w:rsidR="009E5D17">
        <w:t xml:space="preserve">Scheme results falls below the default BRE value of 27%, calling into question the </w:t>
      </w:r>
      <w:r w:rsidR="00DC1A1D">
        <w:t>rather dogmatic view that Mr Dias appears to have taken</w:t>
      </w:r>
      <w:r w:rsidR="009A1715">
        <w:t xml:space="preserve"> (and which the officers had taken in early 2025 when rejecting the idea of a compromise condition based on the Illustrative Scheme modelling</w:t>
      </w:r>
      <w:r w:rsidR="009A1715">
        <w:rPr>
          <w:rStyle w:val="FootnoteReference"/>
        </w:rPr>
        <w:footnoteReference w:id="45"/>
      </w:r>
      <w:r w:rsidR="00161A6D">
        <w:t>)</w:t>
      </w:r>
      <w:r w:rsidR="001221BB">
        <w:t xml:space="preserve">. It is absolutely obvious that the modelled results of the Illustrative Scheme would be acceptable in residential amenity terms </w:t>
      </w:r>
      <w:r w:rsidR="00FF34C0">
        <w:t>and has been since before the committee.</w:t>
      </w:r>
    </w:p>
    <w:p w14:paraId="1351382E" w14:textId="77777777" w:rsidR="00DC1A1D" w:rsidRDefault="00DC1A1D" w:rsidP="00DC1A1D">
      <w:pPr>
        <w:pStyle w:val="ListParagraph"/>
      </w:pPr>
    </w:p>
    <w:p w14:paraId="2C88B33F" w14:textId="44409DF8" w:rsidR="00DC1A1D" w:rsidRDefault="00DC1A1D" w:rsidP="000543D0">
      <w:pPr>
        <w:pStyle w:val="ListParagraph"/>
        <w:numPr>
          <w:ilvl w:val="0"/>
          <w:numId w:val="1"/>
        </w:numPr>
        <w:spacing w:line="360" w:lineRule="auto"/>
        <w:jc w:val="both"/>
      </w:pPr>
      <w:r>
        <w:t xml:space="preserve">So the position now adopted by the Council is not consistent with Mr Dias’ written evidence, but </w:t>
      </w:r>
      <w:r w:rsidR="00AC23C9">
        <w:t xml:space="preserve">appears to reflect a more realistic approach to overall optimisation of the Site; (2) that change of position </w:t>
      </w:r>
      <w:r w:rsidR="00153E8B">
        <w:t xml:space="preserve">– to be clear – came about at the inquiry but could have come about some weeks before (by which time the Council had </w:t>
      </w:r>
      <w:r w:rsidR="008C4E28">
        <w:t xml:space="preserve">the model, it had the weighted VSC values, etc, which it claimed had prevented the </w:t>
      </w:r>
      <w:r w:rsidR="0097142C">
        <w:t>offer of a DSO condition being accepted when the Applicant made it before the committee date in February 2025</w:t>
      </w:r>
      <w:r w:rsidR="008C4E28">
        <w:t>).</w:t>
      </w:r>
    </w:p>
    <w:p w14:paraId="126BFBD6" w14:textId="77777777" w:rsidR="00A5122D" w:rsidRDefault="00A5122D" w:rsidP="00A5122D">
      <w:pPr>
        <w:pStyle w:val="ListParagraph"/>
      </w:pPr>
    </w:p>
    <w:p w14:paraId="048F8EF5" w14:textId="7D88AD76" w:rsidR="00A5122D" w:rsidRDefault="00FF34C0" w:rsidP="000543D0">
      <w:pPr>
        <w:pStyle w:val="ListParagraph"/>
        <w:numPr>
          <w:ilvl w:val="0"/>
          <w:numId w:val="1"/>
        </w:numPr>
        <w:spacing w:line="360" w:lineRule="auto"/>
        <w:jc w:val="both"/>
      </w:pPr>
      <w:r>
        <w:t>Third point: t</w:t>
      </w:r>
      <w:r w:rsidR="00A5122D">
        <w:t>he Applicant has made it clear</w:t>
      </w:r>
      <w:r>
        <w:t>,</w:t>
      </w:r>
      <w:r w:rsidR="00A5122D">
        <w:t xml:space="preserve"> </w:t>
      </w:r>
      <w:r>
        <w:t xml:space="preserve">and I underline here, </w:t>
      </w:r>
      <w:r w:rsidR="00A5122D">
        <w:t>that it does not intend to seek any form of costs award against the Council, either on DSO evidence or overall in terms of inquiry preparation</w:t>
      </w:r>
      <w:r w:rsidR="00E5607B">
        <w:t xml:space="preserve">. Railpen is a long term owner and </w:t>
      </w:r>
      <w:r w:rsidR="009E4F9A">
        <w:t>stakeholder in Cambridge and values its working relationship with the City Council and the joint planning service. B</w:t>
      </w:r>
      <w:r w:rsidR="00A5122D">
        <w:t xml:space="preserve">ut </w:t>
      </w:r>
      <w:r w:rsidR="007C2159">
        <w:t xml:space="preserve">clearly what has happened with the Council’s case here </w:t>
      </w:r>
      <w:r w:rsidR="009E4F9A">
        <w:t>c</w:t>
      </w:r>
      <w:r w:rsidR="00E5607B">
        <w:t>ould have called the matter of costs into question</w:t>
      </w:r>
      <w:r w:rsidR="009E4F9A">
        <w:t xml:space="preserve"> – after all, the </w:t>
      </w:r>
      <w:r w:rsidR="00284B45">
        <w:t xml:space="preserve">Council has </w:t>
      </w:r>
      <w:r w:rsidR="001C4164">
        <w:t>withdrawn</w:t>
      </w:r>
      <w:r w:rsidR="00284B45">
        <w:t xml:space="preserve"> its DSO case </w:t>
      </w:r>
      <w:r w:rsidR="00284B45">
        <w:rPr>
          <w:i/>
          <w:iCs/>
        </w:rPr>
        <w:t xml:space="preserve">and its entire objection to the scheme </w:t>
      </w:r>
      <w:r w:rsidR="00284B45">
        <w:t>on the basis of a condition which, in essence, is exactly the same as the one which the Applicant proposed to it before the committee in January 2025</w:t>
      </w:r>
      <w:r w:rsidR="00011A4C">
        <w:rPr>
          <w:rStyle w:val="FootnoteReference"/>
        </w:rPr>
        <w:footnoteReference w:id="46"/>
      </w:r>
      <w:r w:rsidR="00284B45">
        <w:t>.</w:t>
      </w:r>
    </w:p>
    <w:p w14:paraId="5574B51A" w14:textId="77777777" w:rsidR="00284B45" w:rsidRDefault="00284B45" w:rsidP="00284B45">
      <w:pPr>
        <w:pStyle w:val="ListParagraph"/>
      </w:pPr>
    </w:p>
    <w:p w14:paraId="7F2F5249" w14:textId="01BB00B1" w:rsidR="00284B45" w:rsidRDefault="003F5E90" w:rsidP="000543D0">
      <w:pPr>
        <w:pStyle w:val="ListParagraph"/>
        <w:numPr>
          <w:ilvl w:val="0"/>
          <w:numId w:val="1"/>
        </w:numPr>
        <w:spacing w:line="360" w:lineRule="auto"/>
        <w:jc w:val="both"/>
      </w:pPr>
      <w:r>
        <w:t xml:space="preserve">The </w:t>
      </w:r>
      <w:r w:rsidR="004041B7">
        <w:t>points raised by the Council in its 31 January 2025 rejection of the moo</w:t>
      </w:r>
      <w:r>
        <w:t xml:space="preserve">ted condition </w:t>
      </w:r>
      <w:r w:rsidR="00E53E1D">
        <w:t xml:space="preserve">were all quite wrong, was pointed out to the Council in the </w:t>
      </w:r>
      <w:r w:rsidR="00E27AE4">
        <w:t>correspondence which followed</w:t>
      </w:r>
      <w:r>
        <w:t>,</w:t>
      </w:r>
      <w:r w:rsidR="00E27AE4">
        <w:t xml:space="preserve"> including a legal note written by me pointing out the evident errors in the Council’s stated position</w:t>
      </w:r>
      <w:r w:rsidR="000539D2">
        <w:t>. None of those points have, rightly, stood in the way of the Council’s change of position at the inquiry. What is regrettable is that they stood in the way in January and early February 2025</w:t>
      </w:r>
      <w:r w:rsidR="00773D96">
        <w:t xml:space="preserve">. </w:t>
      </w:r>
    </w:p>
    <w:p w14:paraId="5177A71E" w14:textId="77777777" w:rsidR="00773D96" w:rsidRDefault="00773D96" w:rsidP="00773D96">
      <w:pPr>
        <w:pStyle w:val="ListParagraph"/>
      </w:pPr>
    </w:p>
    <w:p w14:paraId="4CC5E93E" w14:textId="77777777" w:rsidR="0057229D" w:rsidRDefault="00ED027D" w:rsidP="000543D0">
      <w:pPr>
        <w:pStyle w:val="ListParagraph"/>
        <w:numPr>
          <w:ilvl w:val="0"/>
          <w:numId w:val="1"/>
        </w:numPr>
        <w:spacing w:line="360" w:lineRule="auto"/>
        <w:jc w:val="both"/>
      </w:pPr>
      <w:r>
        <w:t xml:space="preserve">But there we are. </w:t>
      </w:r>
      <w:r w:rsidR="00F80DD2">
        <w:t xml:space="preserve">Some clearer thinking would probably be </w:t>
      </w:r>
      <w:r w:rsidR="0057229D">
        <w:t>better in future cases involving this topic. For present purposes, t</w:t>
      </w:r>
      <w:r w:rsidR="00B41A62">
        <w:t xml:space="preserve">here is no DSO objection </w:t>
      </w:r>
      <w:r w:rsidR="0057229D">
        <w:t xml:space="preserve">from the Council </w:t>
      </w:r>
      <w:r w:rsidR="00B41A62">
        <w:t xml:space="preserve">if the condition is imposed. </w:t>
      </w:r>
    </w:p>
    <w:p w14:paraId="5F91DA38" w14:textId="77777777" w:rsidR="0057229D" w:rsidRDefault="0057229D" w:rsidP="0057229D">
      <w:pPr>
        <w:pStyle w:val="ListParagraph"/>
      </w:pPr>
    </w:p>
    <w:p w14:paraId="63370996" w14:textId="27A7005E" w:rsidR="00773D96" w:rsidRDefault="00B41A62" w:rsidP="000543D0">
      <w:pPr>
        <w:pStyle w:val="ListParagraph"/>
        <w:numPr>
          <w:ilvl w:val="0"/>
          <w:numId w:val="1"/>
        </w:numPr>
        <w:spacing w:line="360" w:lineRule="auto"/>
        <w:jc w:val="both"/>
      </w:pPr>
      <w:r>
        <w:t xml:space="preserve">Nor, in fact, is there a DSO objection even without the condition, because Mr Lonergan is clear right about the approach that should be taken to a reasonable alternative target </w:t>
      </w:r>
      <w:r w:rsidR="00D67035">
        <w:t>when dealing with Site. The Applicant relies on the evidence that he gave in writing and spoke to at the inquiry, and simply notes for emphasis the following:</w:t>
      </w:r>
    </w:p>
    <w:p w14:paraId="265B99B8" w14:textId="77777777" w:rsidR="00D67035" w:rsidRDefault="00D67035" w:rsidP="00D67035">
      <w:pPr>
        <w:pStyle w:val="ListParagraph"/>
      </w:pPr>
    </w:p>
    <w:p w14:paraId="10EFA4C3" w14:textId="09B7248C" w:rsidR="00D67035" w:rsidRDefault="008F5CE3" w:rsidP="00D67035">
      <w:pPr>
        <w:pStyle w:val="ListParagraph"/>
        <w:numPr>
          <w:ilvl w:val="0"/>
          <w:numId w:val="7"/>
        </w:numPr>
        <w:spacing w:line="360" w:lineRule="auto"/>
        <w:jc w:val="both"/>
      </w:pPr>
      <w:r>
        <w:t>The Site is agreed to be a site which should be optimised for re-development. That is a crucial aspect of context for the DSO judgement – it is simply not reasonable to treat the Site as</w:t>
      </w:r>
      <w:r w:rsidR="00385FF0">
        <w:t xml:space="preserve"> part of a suburban area where a mirror massing exercise with two to two-and-a-half storey housing is the correct comparator</w:t>
      </w:r>
      <w:r w:rsidR="00FF0240">
        <w:t xml:space="preserve">. The character work adopted by the Council does not treat the relevant area of St Matthews Gardens or Silverwood Close as “suburban” areas – indeed, it changed its character work from such a label to </w:t>
      </w:r>
      <w:r w:rsidR="003A43BE">
        <w:t xml:space="preserve">“railway corridor”. </w:t>
      </w:r>
    </w:p>
    <w:p w14:paraId="7038C0BD" w14:textId="3E5C1A60" w:rsidR="00FF0240" w:rsidRDefault="00FF0240" w:rsidP="00FF0240">
      <w:pPr>
        <w:pStyle w:val="ListParagraph"/>
        <w:spacing w:line="360" w:lineRule="auto"/>
        <w:ind w:left="1080"/>
        <w:jc w:val="both"/>
      </w:pPr>
    </w:p>
    <w:p w14:paraId="57C90E7C" w14:textId="54BBACF4" w:rsidR="00FF0240" w:rsidRDefault="00FF0240" w:rsidP="00D67035">
      <w:pPr>
        <w:pStyle w:val="ListParagraph"/>
        <w:numPr>
          <w:ilvl w:val="0"/>
          <w:numId w:val="7"/>
        </w:numPr>
        <w:spacing w:line="360" w:lineRule="auto"/>
        <w:jc w:val="both"/>
      </w:pPr>
      <w:r>
        <w:t xml:space="preserve">It is also not reasonable </w:t>
      </w:r>
      <w:r w:rsidR="003A43BE">
        <w:t xml:space="preserve">to reject the examples given by Mr Lonergan of </w:t>
      </w:r>
      <w:r w:rsidR="00693F7E">
        <w:t xml:space="preserve">retained VSC values in areas of the City where optimised relationships between buildings have been achieved.  That leads to the </w:t>
      </w:r>
      <w:r w:rsidR="00CA3E3E">
        <w:t xml:space="preserve">quite untenable judgement </w:t>
      </w:r>
      <w:r w:rsidR="00C05A0F">
        <w:t xml:space="preserve">by Mr Dias </w:t>
      </w:r>
      <w:r w:rsidR="00CA3E3E">
        <w:t xml:space="preserve">that for the most part (except where the unit or window in question is so sunken in the ground as to make it </w:t>
      </w:r>
      <w:r w:rsidR="00C05A0F">
        <w:t xml:space="preserve">absurd) one should apply to this site, in urban Cambridge, the default BRE figure of 27% VSC as the indicator of acceptability. </w:t>
      </w:r>
    </w:p>
    <w:p w14:paraId="3A1A146B" w14:textId="77777777" w:rsidR="00942339" w:rsidRDefault="00942339" w:rsidP="00942339">
      <w:pPr>
        <w:pStyle w:val="ListParagraph"/>
      </w:pPr>
    </w:p>
    <w:p w14:paraId="0BF110B1" w14:textId="593ED768" w:rsidR="00942339" w:rsidRDefault="00942339" w:rsidP="00D67035">
      <w:pPr>
        <w:pStyle w:val="ListParagraph"/>
        <w:numPr>
          <w:ilvl w:val="0"/>
          <w:numId w:val="7"/>
        </w:numPr>
        <w:spacing w:line="360" w:lineRule="auto"/>
        <w:jc w:val="both"/>
      </w:pPr>
      <w:r>
        <w:t xml:space="preserve">Mr Lonergan’s </w:t>
      </w:r>
      <w:r w:rsidR="00F826EB">
        <w:t xml:space="preserve">approach is </w:t>
      </w:r>
      <w:r>
        <w:t xml:space="preserve">in line with some recent considerations of this issue </w:t>
      </w:r>
      <w:r w:rsidR="00F826EB">
        <w:t xml:space="preserve">(including Harleyford Road, where the </w:t>
      </w:r>
      <w:r w:rsidR="00E13655">
        <w:t>benchmarks of 16% VSC for a bedroom and 18% for a LKD were approved and where Mr Dias gave evidence)</w:t>
      </w:r>
      <w:r w:rsidR="00457546">
        <w:t>. It shows through the detailed tabulated results for each affected window that against th</w:t>
      </w:r>
      <w:r w:rsidR="002E1ED2">
        <w:t xml:space="preserve">ose benchmarks the vast majority passed, and the handful that did not were subject to particular constraints. </w:t>
      </w:r>
      <w:r w:rsidR="00820041">
        <w:t>That is a result which should come as no surprise whatever in an urban context.</w:t>
      </w:r>
    </w:p>
    <w:p w14:paraId="44F3C7FB" w14:textId="77777777" w:rsidR="00D67035" w:rsidRDefault="00D67035" w:rsidP="00D67035">
      <w:pPr>
        <w:pStyle w:val="ListParagraph"/>
      </w:pPr>
    </w:p>
    <w:p w14:paraId="0E7C4795" w14:textId="77777777" w:rsidR="00D67035" w:rsidRDefault="00D67035" w:rsidP="00D67035">
      <w:pPr>
        <w:pStyle w:val="ListParagraph"/>
      </w:pPr>
    </w:p>
    <w:p w14:paraId="68EEA5CD" w14:textId="0EB575AF" w:rsidR="00D67035" w:rsidRDefault="00AD1D64" w:rsidP="000543D0">
      <w:pPr>
        <w:pStyle w:val="ListParagraph"/>
        <w:numPr>
          <w:ilvl w:val="0"/>
          <w:numId w:val="1"/>
        </w:numPr>
        <w:spacing w:line="360" w:lineRule="auto"/>
        <w:jc w:val="both"/>
      </w:pPr>
      <w:r>
        <w:t xml:space="preserve">Mr Lonergan’s approach should be adopted and a finding made that the PP scheme effects are in any event acceptable. </w:t>
      </w:r>
      <w:r w:rsidR="00331A03">
        <w:t xml:space="preserve">How the Secretary of State judges the condition on DSO which the Applicant </w:t>
      </w:r>
      <w:r w:rsidR="00222C01">
        <w:t>has commented on without prejudice to its case is a matter for her.</w:t>
      </w:r>
    </w:p>
    <w:p w14:paraId="0DC1FFD4" w14:textId="09E23F3F" w:rsidR="00222C01" w:rsidRDefault="00222C01" w:rsidP="00222C01">
      <w:pPr>
        <w:pStyle w:val="ListParagraph"/>
        <w:spacing w:line="360" w:lineRule="auto"/>
        <w:jc w:val="both"/>
      </w:pPr>
    </w:p>
    <w:p w14:paraId="709A2398" w14:textId="77777777" w:rsidR="0065420A" w:rsidRDefault="00222C01" w:rsidP="000543D0">
      <w:pPr>
        <w:pStyle w:val="ListParagraph"/>
        <w:numPr>
          <w:ilvl w:val="0"/>
          <w:numId w:val="1"/>
        </w:numPr>
        <w:spacing w:line="360" w:lineRule="auto"/>
        <w:jc w:val="both"/>
      </w:pPr>
      <w:r>
        <w:t xml:space="preserve">The site visit will have informed the judgement about sunlight in the gardens, though again, against the BRE guidance Mr Lonergan’s evidence shows that the effects (of both the PP scheme and the Illustrative Scheme) would be acceptable. </w:t>
      </w:r>
    </w:p>
    <w:p w14:paraId="645477C0" w14:textId="77777777" w:rsidR="0065420A" w:rsidRDefault="0065420A" w:rsidP="0065420A">
      <w:pPr>
        <w:pStyle w:val="ListParagraph"/>
      </w:pPr>
    </w:p>
    <w:p w14:paraId="24220CD1" w14:textId="7E1624CB" w:rsidR="00222C01" w:rsidRDefault="0065420A" w:rsidP="000543D0">
      <w:pPr>
        <w:pStyle w:val="ListParagraph"/>
        <w:numPr>
          <w:ilvl w:val="0"/>
          <w:numId w:val="1"/>
        </w:numPr>
        <w:spacing w:line="360" w:lineRule="auto"/>
        <w:jc w:val="both"/>
      </w:pPr>
      <w:r>
        <w:t xml:space="preserve">Outlook is not maintained as a reason for dismissing the appeal but the Inspector has detailed information about the </w:t>
      </w:r>
      <w:r w:rsidR="003C2157">
        <w:t xml:space="preserve">changes to the views from rear gardens as well as having been to some of them on the site visit. The buildings would be clearly visible but over a </w:t>
      </w:r>
      <w:r w:rsidR="006B611D">
        <w:t xml:space="preserve">significant distance, with stepping at the higher levels controlling the way that the height would be perceived (ie as recessive) and a good degree of existing </w:t>
      </w:r>
      <w:r w:rsidR="001947EE">
        <w:t>tree screening (some within the control of the neighbours themselves) and the ability through the RM landscape details to add more. The effect would be more urban, certainly, and there would be a reduction in what at the moment in some cases is a relatively unobstructed outlook; but it would not be over</w:t>
      </w:r>
      <w:r w:rsidR="003F5E90">
        <w:t>-</w:t>
      </w:r>
      <w:r w:rsidR="001947EE">
        <w:t>dominant, or unacceptable in an urban area.</w:t>
      </w:r>
      <w:r w:rsidR="007749FF">
        <w:t xml:space="preserve"> As the report to committee</w:t>
      </w:r>
      <w:r w:rsidR="00197B4E">
        <w:rPr>
          <w:rStyle w:val="FootnoteReference"/>
        </w:rPr>
        <w:footnoteReference w:id="47"/>
      </w:r>
      <w:r w:rsidR="007749FF">
        <w:t xml:space="preserve"> said: </w:t>
      </w:r>
      <w:r w:rsidR="007749FF">
        <w:rPr>
          <w:i/>
          <w:iCs/>
        </w:rPr>
        <w:t>“</w:t>
      </w:r>
      <w:r w:rsidR="009E18F6">
        <w:rPr>
          <w:i/>
          <w:iCs/>
        </w:rPr>
        <w:t>it must be recognised that to accommodate the aspirations of Government policy to deliver meaningful growth</w:t>
      </w:r>
      <w:r w:rsidR="00197B4E">
        <w:rPr>
          <w:i/>
          <w:iCs/>
        </w:rPr>
        <w:t>, particularly in economic terms on brownfield sites such as this, that a significant degree of change and densification of the site is inevitable.”</w:t>
      </w:r>
    </w:p>
    <w:p w14:paraId="7465C783" w14:textId="77777777" w:rsidR="00B93D46" w:rsidRDefault="00B93D46" w:rsidP="00B93D46">
      <w:pPr>
        <w:pStyle w:val="ListParagraph"/>
      </w:pPr>
    </w:p>
    <w:p w14:paraId="3F171AA3" w14:textId="2BF079B2" w:rsidR="00B93D46" w:rsidRDefault="00B93D46" w:rsidP="000543D0">
      <w:pPr>
        <w:pStyle w:val="ListParagraph"/>
        <w:numPr>
          <w:ilvl w:val="0"/>
          <w:numId w:val="1"/>
        </w:numPr>
        <w:spacing w:line="360" w:lineRule="auto"/>
        <w:jc w:val="both"/>
      </w:pPr>
      <w:r>
        <w:t>For these reasons the NPPF policy on residential living conditions</w:t>
      </w:r>
      <w:r>
        <w:rPr>
          <w:rStyle w:val="FootnoteReference"/>
        </w:rPr>
        <w:footnoteReference w:id="48"/>
      </w:r>
      <w:r>
        <w:t xml:space="preserve"> would be complied with, as would the </w:t>
      </w:r>
      <w:r w:rsidR="00A54861">
        <w:t>relevant adopted local plan policies</w:t>
      </w:r>
      <w:r w:rsidR="005F7047">
        <w:t xml:space="preserve">; Mr Kaddish says that the residual outcome overall, bearing in mind the fact that the living conditions of those nearby would be enhanced in real terms by the proximity of the facilities and amenities of the scheme, would be </w:t>
      </w:r>
      <w:r w:rsidR="00523F3E">
        <w:t>at the lower end of limited harm</w:t>
      </w:r>
      <w:r w:rsidR="00523F3E">
        <w:rPr>
          <w:rStyle w:val="FootnoteReference"/>
        </w:rPr>
        <w:footnoteReference w:id="49"/>
      </w:r>
      <w:r w:rsidR="00523F3E">
        <w:t>.</w:t>
      </w:r>
    </w:p>
    <w:p w14:paraId="5C21D977" w14:textId="77777777" w:rsidR="00A02AAD" w:rsidRDefault="00A02AAD" w:rsidP="00A02AAD">
      <w:pPr>
        <w:pStyle w:val="ListParagraph"/>
      </w:pPr>
    </w:p>
    <w:p w14:paraId="24F167A5" w14:textId="4F51CBA3" w:rsidR="00A02AAD" w:rsidRDefault="00A02AAD" w:rsidP="000543D0">
      <w:pPr>
        <w:pStyle w:val="ListParagraph"/>
        <w:numPr>
          <w:ilvl w:val="0"/>
          <w:numId w:val="1"/>
        </w:numPr>
        <w:spacing w:line="360" w:lineRule="auto"/>
        <w:jc w:val="both"/>
      </w:pPr>
      <w:r>
        <w:t xml:space="preserve">The overall conclusion on this main issue is that the Government’s policy on placemaking and design would be </w:t>
      </w:r>
      <w:r w:rsidR="008A2B62">
        <w:t>met by the application scheme.</w:t>
      </w:r>
    </w:p>
    <w:p w14:paraId="0C71F8B9" w14:textId="77777777" w:rsidR="00057D42" w:rsidRDefault="00057D42" w:rsidP="00057D42">
      <w:pPr>
        <w:pStyle w:val="ListParagraph"/>
      </w:pPr>
    </w:p>
    <w:p w14:paraId="4ACD91A7" w14:textId="77777777" w:rsidR="00057D42" w:rsidRDefault="00057D42" w:rsidP="00057D42">
      <w:pPr>
        <w:pStyle w:val="ListParagraph"/>
      </w:pPr>
    </w:p>
    <w:p w14:paraId="440CB79E" w14:textId="77777777" w:rsidR="00057D42" w:rsidRDefault="00057D42" w:rsidP="00057D42">
      <w:pPr>
        <w:pStyle w:val="ListParagraph"/>
      </w:pPr>
    </w:p>
    <w:p w14:paraId="3BC9A35C" w14:textId="77777777" w:rsidR="00057D42" w:rsidRDefault="00057D42" w:rsidP="00057D42">
      <w:pPr>
        <w:pStyle w:val="ListParagraph"/>
      </w:pPr>
    </w:p>
    <w:p w14:paraId="54D1A02C" w14:textId="059D4C56" w:rsidR="00057D42" w:rsidRPr="00057D42" w:rsidRDefault="00057D42" w:rsidP="00057D42">
      <w:pPr>
        <w:pStyle w:val="ListParagraph"/>
        <w:rPr>
          <w:b/>
          <w:bCs w:val="0"/>
        </w:rPr>
      </w:pPr>
      <w:r>
        <w:rPr>
          <w:b/>
          <w:bCs w:val="0"/>
        </w:rPr>
        <w:t>Issue 4: development plan</w:t>
      </w:r>
    </w:p>
    <w:p w14:paraId="12905C9C" w14:textId="77777777" w:rsidR="00057D42" w:rsidRDefault="00057D42" w:rsidP="00057D42">
      <w:pPr>
        <w:pStyle w:val="ListParagraph"/>
      </w:pPr>
    </w:p>
    <w:p w14:paraId="1C533006" w14:textId="77777777" w:rsidR="00057D42" w:rsidRDefault="00057D42" w:rsidP="00057D42">
      <w:pPr>
        <w:pStyle w:val="ListParagraph"/>
      </w:pPr>
    </w:p>
    <w:p w14:paraId="52720020" w14:textId="13108C30" w:rsidR="00057D42" w:rsidRDefault="008A2B62" w:rsidP="00E46A5C">
      <w:pPr>
        <w:pStyle w:val="ListParagraph"/>
        <w:numPr>
          <w:ilvl w:val="0"/>
          <w:numId w:val="1"/>
        </w:numPr>
        <w:spacing w:line="360" w:lineRule="auto"/>
        <w:jc w:val="both"/>
      </w:pPr>
      <w:r>
        <w:t>It is now agreed that the development plan is complied with</w:t>
      </w:r>
      <w:r w:rsidR="00E360AF">
        <w:t>. The only caveat before</w:t>
      </w:r>
      <w:r w:rsidR="00E360AF">
        <w:rPr>
          <w:rStyle w:val="FootnoteReference"/>
        </w:rPr>
        <w:footnoteReference w:id="50"/>
      </w:r>
      <w:r w:rsidR="00AA6DC5">
        <w:t xml:space="preserve"> related to the key issue of DSO impact and outlook, but the Council now takes the view that, if the DSO condition is imposed, the development plan would be complied with. The Applicant’s view remains that the PP scheme also complies with the development plan.</w:t>
      </w:r>
    </w:p>
    <w:p w14:paraId="7C1DDABA" w14:textId="2EF65057" w:rsidR="00C00F0C" w:rsidRDefault="00C00F0C" w:rsidP="00C00F0C">
      <w:pPr>
        <w:pStyle w:val="ListParagraph"/>
        <w:spacing w:line="360" w:lineRule="auto"/>
        <w:jc w:val="both"/>
      </w:pPr>
    </w:p>
    <w:p w14:paraId="02423225" w14:textId="457C74C1" w:rsidR="00C00F0C" w:rsidRDefault="00CE093B" w:rsidP="00E46A5C">
      <w:pPr>
        <w:pStyle w:val="ListParagraph"/>
        <w:numPr>
          <w:ilvl w:val="0"/>
          <w:numId w:val="1"/>
        </w:numPr>
        <w:spacing w:line="360" w:lineRule="auto"/>
        <w:jc w:val="both"/>
      </w:pPr>
      <w:r>
        <w:t xml:space="preserve">There are no particular thorny issues between the parties in terms of interpretation or application </w:t>
      </w:r>
      <w:r w:rsidR="00470280">
        <w:t>of the development plan. The plan is generally up to date. The full list of relevant policies is in the Statement of Common Ground</w:t>
      </w:r>
      <w:r w:rsidR="00F06E05">
        <w:rPr>
          <w:rStyle w:val="FootnoteReference"/>
        </w:rPr>
        <w:footnoteReference w:id="51"/>
      </w:r>
      <w:r w:rsidR="00F06E05">
        <w:t>; Mr Kaddish identified the plan’s Vision, and Pol</w:t>
      </w:r>
      <w:r w:rsidR="004B2302">
        <w:t xml:space="preserve">icies </w:t>
      </w:r>
      <w:r w:rsidR="008F1E6C">
        <w:t>2, 40</w:t>
      </w:r>
      <w:r w:rsidR="00C64F0A">
        <w:t xml:space="preserve">, and 55, 56, 57 and 60 as the ones he considered most important in the context of this scheme. </w:t>
      </w:r>
      <w:r w:rsidR="00F6325A">
        <w:t>Each one would be complied with for the reasons he gave</w:t>
      </w:r>
      <w:r w:rsidR="00F6325A">
        <w:rPr>
          <w:rStyle w:val="FootnoteReference"/>
        </w:rPr>
        <w:footnoteReference w:id="52"/>
      </w:r>
      <w:r w:rsidR="00F6325A">
        <w:t>.</w:t>
      </w:r>
    </w:p>
    <w:p w14:paraId="32B21957" w14:textId="1DD44CA1" w:rsidR="00C00F0C" w:rsidRDefault="00C00F0C" w:rsidP="00F6325A">
      <w:pPr>
        <w:spacing w:line="360" w:lineRule="auto"/>
        <w:jc w:val="both"/>
      </w:pPr>
    </w:p>
    <w:p w14:paraId="2C1A2B30" w14:textId="77777777" w:rsidR="00C00F0C" w:rsidRDefault="00C00F0C" w:rsidP="00C00F0C">
      <w:pPr>
        <w:pStyle w:val="ListParagraph"/>
      </w:pPr>
    </w:p>
    <w:p w14:paraId="1F651AD1" w14:textId="77777777" w:rsidR="003F5E90" w:rsidRDefault="003F5E90" w:rsidP="00C00F0C">
      <w:pPr>
        <w:pStyle w:val="ListParagraph"/>
      </w:pPr>
    </w:p>
    <w:p w14:paraId="32E4622B" w14:textId="77777777" w:rsidR="003F5E90" w:rsidRDefault="003F5E90" w:rsidP="00C00F0C">
      <w:pPr>
        <w:pStyle w:val="ListParagraph"/>
      </w:pPr>
    </w:p>
    <w:p w14:paraId="7E244F14" w14:textId="77777777" w:rsidR="003F5E90" w:rsidRDefault="003F5E90" w:rsidP="00C00F0C">
      <w:pPr>
        <w:pStyle w:val="ListParagraph"/>
      </w:pPr>
    </w:p>
    <w:p w14:paraId="1952BAB5" w14:textId="77777777" w:rsidR="003F5E90" w:rsidRDefault="003F5E90" w:rsidP="00C00F0C">
      <w:pPr>
        <w:pStyle w:val="ListParagraph"/>
      </w:pPr>
    </w:p>
    <w:p w14:paraId="1CEEBC91" w14:textId="77777777" w:rsidR="003F5E90" w:rsidRDefault="003F5E90" w:rsidP="00C00F0C">
      <w:pPr>
        <w:pStyle w:val="ListParagraph"/>
      </w:pPr>
    </w:p>
    <w:p w14:paraId="4F5159E6" w14:textId="77777777" w:rsidR="003F5E90" w:rsidRDefault="003F5E90" w:rsidP="00C00F0C">
      <w:pPr>
        <w:pStyle w:val="ListParagraph"/>
      </w:pPr>
    </w:p>
    <w:p w14:paraId="40110967" w14:textId="77777777" w:rsidR="003F5E90" w:rsidRDefault="003F5E90" w:rsidP="00C00F0C">
      <w:pPr>
        <w:pStyle w:val="ListParagraph"/>
      </w:pPr>
    </w:p>
    <w:p w14:paraId="6E43771B" w14:textId="77777777" w:rsidR="00C00F0C" w:rsidRDefault="00C00F0C" w:rsidP="00C00F0C">
      <w:pPr>
        <w:pStyle w:val="ListParagraph"/>
      </w:pPr>
    </w:p>
    <w:p w14:paraId="20C367E5" w14:textId="57460608" w:rsidR="00C00F0C" w:rsidRPr="00C00F0C" w:rsidRDefault="00C00F0C" w:rsidP="00C00F0C">
      <w:pPr>
        <w:pStyle w:val="ListParagraph"/>
        <w:rPr>
          <w:b/>
          <w:bCs w:val="0"/>
        </w:rPr>
      </w:pPr>
      <w:r>
        <w:rPr>
          <w:b/>
          <w:bCs w:val="0"/>
        </w:rPr>
        <w:t>Other issues</w:t>
      </w:r>
    </w:p>
    <w:p w14:paraId="4C271AD6" w14:textId="634B6F95" w:rsidR="00C00F0C" w:rsidRDefault="00C00F0C" w:rsidP="00C00F0C">
      <w:pPr>
        <w:pStyle w:val="ListParagraph"/>
        <w:rPr>
          <w:i/>
          <w:iCs/>
        </w:rPr>
      </w:pPr>
    </w:p>
    <w:p w14:paraId="23ECBBAB" w14:textId="77777777" w:rsidR="00F6325A" w:rsidRDefault="00F6325A" w:rsidP="00C00F0C">
      <w:pPr>
        <w:pStyle w:val="ListParagraph"/>
        <w:rPr>
          <w:i/>
          <w:iCs/>
        </w:rPr>
      </w:pPr>
    </w:p>
    <w:p w14:paraId="2BB70F05" w14:textId="4FB01A4E" w:rsidR="00C00F0C" w:rsidRPr="00C00F0C" w:rsidRDefault="00C00F0C" w:rsidP="00C00F0C">
      <w:pPr>
        <w:pStyle w:val="ListParagraph"/>
        <w:rPr>
          <w:i/>
          <w:iCs/>
        </w:rPr>
      </w:pPr>
      <w:r>
        <w:rPr>
          <w:i/>
          <w:iCs/>
        </w:rPr>
        <w:t>Sustainable transport</w:t>
      </w:r>
    </w:p>
    <w:p w14:paraId="3635716A" w14:textId="77777777" w:rsidR="00C00F0C" w:rsidRDefault="00C00F0C" w:rsidP="00C00F0C">
      <w:pPr>
        <w:pStyle w:val="ListParagraph"/>
      </w:pPr>
    </w:p>
    <w:p w14:paraId="1D4E33C5" w14:textId="763C1ECD" w:rsidR="00C00F0C" w:rsidRDefault="00F6325A" w:rsidP="00E46A5C">
      <w:pPr>
        <w:pStyle w:val="ListParagraph"/>
        <w:numPr>
          <w:ilvl w:val="0"/>
          <w:numId w:val="1"/>
        </w:numPr>
        <w:spacing w:line="360" w:lineRule="auto"/>
        <w:jc w:val="both"/>
      </w:pPr>
      <w:r>
        <w:t xml:space="preserve">In closing the </w:t>
      </w:r>
      <w:r w:rsidR="000A3A13">
        <w:t>first of two</w:t>
      </w:r>
      <w:r>
        <w:t xml:space="preserve"> issue</w:t>
      </w:r>
      <w:r w:rsidR="000A3A13">
        <w:t>s</w:t>
      </w:r>
      <w:r>
        <w:t xml:space="preserve"> I cover under this head is that of sustainable travel. </w:t>
      </w:r>
      <w:r w:rsidR="00CF540F">
        <w:t>Mr Kaddish identified several key points here which I summarise briefly:</w:t>
      </w:r>
    </w:p>
    <w:p w14:paraId="7EFB8CDE" w14:textId="319E94B4" w:rsidR="00CF540F" w:rsidRDefault="00CF540F" w:rsidP="00CF540F">
      <w:pPr>
        <w:pStyle w:val="ListParagraph"/>
        <w:spacing w:line="360" w:lineRule="auto"/>
        <w:jc w:val="both"/>
      </w:pPr>
    </w:p>
    <w:p w14:paraId="1E08BA38" w14:textId="3F77BE63" w:rsidR="00CF540F" w:rsidRDefault="00CF540F" w:rsidP="00E46A5C">
      <w:pPr>
        <w:pStyle w:val="ListParagraph"/>
        <w:numPr>
          <w:ilvl w:val="0"/>
          <w:numId w:val="1"/>
        </w:numPr>
        <w:spacing w:line="360" w:lineRule="auto"/>
        <w:jc w:val="both"/>
      </w:pPr>
      <w:r>
        <w:t xml:space="preserve">First, the effect on private car use </w:t>
      </w:r>
      <w:r w:rsidR="00B57EB3">
        <w:t xml:space="preserve">stemming from the use of the car would be hugely positive. </w:t>
      </w:r>
      <w:r w:rsidR="004949BC">
        <w:t xml:space="preserve">The Transport Assessment shows that on a weekday, </w:t>
      </w:r>
      <w:r w:rsidR="00370D7A">
        <w:t xml:space="preserve">the flows to the Site would fall by over 10,000, and over 12,000 on a Saturday. </w:t>
      </w:r>
    </w:p>
    <w:p w14:paraId="1B9E3FE7" w14:textId="77777777" w:rsidR="00370D7A" w:rsidRDefault="00370D7A" w:rsidP="00370D7A">
      <w:pPr>
        <w:pStyle w:val="ListParagraph"/>
      </w:pPr>
    </w:p>
    <w:p w14:paraId="5291C72B" w14:textId="77777777" w:rsidR="00FC54EB" w:rsidRDefault="00FC54EB" w:rsidP="00E46A5C">
      <w:pPr>
        <w:pStyle w:val="ListParagraph"/>
        <w:numPr>
          <w:ilvl w:val="0"/>
          <w:numId w:val="1"/>
        </w:numPr>
        <w:spacing w:line="360" w:lineRule="auto"/>
        <w:jc w:val="both"/>
      </w:pPr>
      <w:r>
        <w:t>Second, t</w:t>
      </w:r>
      <w:r w:rsidR="00FB4176">
        <w:t xml:space="preserve">here would by contrast be enhanced pedestrian and cycle connectivity through the site and the site is already well-connected to the central station and to the City Centre by those means. </w:t>
      </w:r>
    </w:p>
    <w:p w14:paraId="3D92AB97" w14:textId="77777777" w:rsidR="00FC54EB" w:rsidRDefault="00FC54EB" w:rsidP="00FC54EB">
      <w:pPr>
        <w:pStyle w:val="ListParagraph"/>
      </w:pPr>
    </w:p>
    <w:p w14:paraId="1086BA1A" w14:textId="5FB08FCB" w:rsidR="00370D7A" w:rsidRDefault="00FC54EB" w:rsidP="00E46A5C">
      <w:pPr>
        <w:pStyle w:val="ListParagraph"/>
        <w:numPr>
          <w:ilvl w:val="0"/>
          <w:numId w:val="1"/>
        </w:numPr>
        <w:spacing w:line="360" w:lineRule="auto"/>
        <w:jc w:val="both"/>
      </w:pPr>
      <w:r>
        <w:t>Third, t</w:t>
      </w:r>
      <w:r w:rsidR="005B7195">
        <w:t>here would be enhanced bus provision which would run into and through the Site itself</w:t>
      </w:r>
      <w:r>
        <w:t xml:space="preserve"> and which would be secured through the s.106 obligation. </w:t>
      </w:r>
    </w:p>
    <w:p w14:paraId="2DF1DF90" w14:textId="77777777" w:rsidR="00C00F0C" w:rsidRDefault="00C00F0C" w:rsidP="00C00F0C">
      <w:pPr>
        <w:pStyle w:val="ListParagraph"/>
      </w:pPr>
    </w:p>
    <w:p w14:paraId="64AF25D5" w14:textId="3752FD36" w:rsidR="00C00F0C" w:rsidRDefault="00FC54EB" w:rsidP="00E46A5C">
      <w:pPr>
        <w:pStyle w:val="ListParagraph"/>
        <w:numPr>
          <w:ilvl w:val="0"/>
          <w:numId w:val="1"/>
        </w:numPr>
        <w:spacing w:line="360" w:lineRule="auto"/>
        <w:jc w:val="both"/>
      </w:pPr>
      <w:r>
        <w:t xml:space="preserve">All this is agreed with the Council who have always acknowledged the sustainable credentials of the Site, and by </w:t>
      </w:r>
      <w:r w:rsidR="000456B9">
        <w:t xml:space="preserve">relevant statutory consultees. </w:t>
      </w:r>
      <w:r w:rsidR="0074033B">
        <w:t>Full detail is to be found in Mr Kaddish’s evidence and in the references he includes</w:t>
      </w:r>
      <w:r w:rsidR="0074033B">
        <w:rPr>
          <w:rStyle w:val="FootnoteReference"/>
        </w:rPr>
        <w:footnoteReference w:id="53"/>
      </w:r>
      <w:r w:rsidR="0074033B">
        <w:t>.</w:t>
      </w:r>
    </w:p>
    <w:p w14:paraId="4CEBEBDF" w14:textId="77777777" w:rsidR="000A3A13" w:rsidRDefault="000A3A13" w:rsidP="000A3A13">
      <w:pPr>
        <w:pStyle w:val="ListParagraph"/>
      </w:pPr>
    </w:p>
    <w:p w14:paraId="0A1351C1" w14:textId="77777777" w:rsidR="000A3A13" w:rsidRDefault="000A3A13" w:rsidP="000A3A13">
      <w:pPr>
        <w:pStyle w:val="ListParagraph"/>
      </w:pPr>
    </w:p>
    <w:p w14:paraId="36267FFE" w14:textId="77777777" w:rsidR="00253BC8" w:rsidRDefault="00253BC8" w:rsidP="000A3A13">
      <w:pPr>
        <w:pStyle w:val="ListParagraph"/>
      </w:pPr>
    </w:p>
    <w:p w14:paraId="413E5541" w14:textId="1F10C6E8" w:rsidR="000A3A13" w:rsidRPr="000A3A13" w:rsidRDefault="000A3A13" w:rsidP="000A3A13">
      <w:pPr>
        <w:pStyle w:val="ListParagraph"/>
        <w:rPr>
          <w:i/>
          <w:iCs/>
        </w:rPr>
      </w:pPr>
      <w:r>
        <w:rPr>
          <w:i/>
          <w:iCs/>
        </w:rPr>
        <w:t>Opportunities for the community</w:t>
      </w:r>
    </w:p>
    <w:p w14:paraId="73FC2801" w14:textId="77777777" w:rsidR="000A3A13" w:rsidRDefault="000A3A13" w:rsidP="000A3A13">
      <w:pPr>
        <w:pStyle w:val="ListParagraph"/>
      </w:pPr>
    </w:p>
    <w:p w14:paraId="3683366C" w14:textId="77777777" w:rsidR="00253BC8" w:rsidRDefault="00253BC8" w:rsidP="000A3A13">
      <w:pPr>
        <w:pStyle w:val="ListParagraph"/>
      </w:pPr>
    </w:p>
    <w:p w14:paraId="0DFD63D7" w14:textId="15261DB8" w:rsidR="000A3A13" w:rsidRDefault="000A3A13" w:rsidP="00E46A5C">
      <w:pPr>
        <w:pStyle w:val="ListParagraph"/>
        <w:numPr>
          <w:ilvl w:val="0"/>
          <w:numId w:val="1"/>
        </w:numPr>
        <w:spacing w:line="360" w:lineRule="auto"/>
        <w:jc w:val="both"/>
      </w:pPr>
      <w:r>
        <w:t xml:space="preserve">The second issue I touch upon under this head is the way that </w:t>
      </w:r>
      <w:r w:rsidR="00456CEF">
        <w:t>the scheme has been designed not just to attract world-leading life science occupiers and practitioners, but to provide real benefits to th</w:t>
      </w:r>
      <w:r w:rsidR="002706D0">
        <w:t xml:space="preserve">ose who live in the area already. Cambridge has areas of real deprivation as well as </w:t>
      </w:r>
      <w:r w:rsidR="00F56304">
        <w:t xml:space="preserve">its global University and life sciences developments; Mr O’Byrne </w:t>
      </w:r>
      <w:r w:rsidR="00CA51FA">
        <w:t xml:space="preserve">set out in some detail how discussions with stakeholders in the area had </w:t>
      </w:r>
      <w:r w:rsidR="00FE5B77">
        <w:t xml:space="preserve">informed </w:t>
      </w:r>
      <w:r w:rsidR="00253BC8">
        <w:t xml:space="preserve">certain aspects of the scheme – the STEM facility, community space, skateable </w:t>
      </w:r>
      <w:r w:rsidR="00EA574B">
        <w:t xml:space="preserve">route, better pedestrian and cycle route in the Beehive greenway, as well as the detailed provisions of the s106 on skills and job opportunities, which go as far as </w:t>
      </w:r>
      <w:r w:rsidR="00EA55BE">
        <w:t>Railpen reasonably can to ensure that the scheme brings opportunity throughout its life and not just at the beginning.</w:t>
      </w:r>
    </w:p>
    <w:p w14:paraId="577A3AE0" w14:textId="39D53E06" w:rsidR="000B7D35" w:rsidRDefault="000B7D35" w:rsidP="000B7D35">
      <w:pPr>
        <w:pStyle w:val="ListParagraph"/>
        <w:spacing w:line="360" w:lineRule="auto"/>
        <w:jc w:val="both"/>
      </w:pPr>
    </w:p>
    <w:p w14:paraId="7DDA3A54" w14:textId="7E54CC17" w:rsidR="000B7D35" w:rsidRDefault="000B7D35" w:rsidP="00E46A5C">
      <w:pPr>
        <w:pStyle w:val="ListParagraph"/>
        <w:numPr>
          <w:ilvl w:val="0"/>
          <w:numId w:val="1"/>
        </w:numPr>
        <w:spacing w:line="360" w:lineRule="auto"/>
        <w:jc w:val="both"/>
      </w:pPr>
      <w:r>
        <w:t>Those w</w:t>
      </w:r>
      <w:r w:rsidR="00CF3842">
        <w:t>ho might be described as suffering from socio-economic disadvantages will be benefitted by the scheme, as will those with mobility issues (the scheme makes movement through the areas easier and safer, and will not make life for the mobility impaired in any way more difficult</w:t>
      </w:r>
      <w:r w:rsidR="00B43A5F">
        <w:t xml:space="preserve"> – the Site will be much safer, better designed fo</w:t>
      </w:r>
      <w:r w:rsidR="009B1385">
        <w:t>r the elderly, women and girls, those with mobility or disability issues</w:t>
      </w:r>
      <w:r w:rsidR="00A01BC8">
        <w:t xml:space="preserve"> and the neurodivergent</w:t>
      </w:r>
      <w:r w:rsidR="009B1385">
        <w:t xml:space="preserve">. As Councillor Bennett said, the arrival of many more jobs on a well-connected urban site near the City centre, rather than on a fringe </w:t>
      </w:r>
      <w:r w:rsidR="00612688">
        <w:t>site near the edges of the City is also a powerful aid to better and more sustainable living for those seeking work.</w:t>
      </w:r>
    </w:p>
    <w:p w14:paraId="4E248AE2" w14:textId="381395F9" w:rsidR="00B309E2" w:rsidRDefault="00B309E2" w:rsidP="00B309E2">
      <w:pPr>
        <w:pStyle w:val="ListParagraph"/>
        <w:spacing w:line="360" w:lineRule="auto"/>
        <w:jc w:val="both"/>
      </w:pPr>
    </w:p>
    <w:p w14:paraId="3D824301" w14:textId="7F7F4071" w:rsidR="00E46A5C" w:rsidRDefault="00B309E2" w:rsidP="00246BE4">
      <w:pPr>
        <w:pStyle w:val="ListParagraph"/>
        <w:numPr>
          <w:ilvl w:val="0"/>
          <w:numId w:val="1"/>
        </w:numPr>
        <w:spacing w:line="360" w:lineRule="auto"/>
        <w:jc w:val="both"/>
      </w:pPr>
      <w:r>
        <w:t>Other points are not identified as main issues but are covered in the evidence: water</w:t>
      </w:r>
      <w:r w:rsidR="00A01BC8">
        <w:t xml:space="preserve"> (dealt with efficiently, no objection from the water companies or the EA)</w:t>
      </w:r>
      <w:r>
        <w:t xml:space="preserve">, </w:t>
      </w:r>
      <w:r w:rsidR="005373A9">
        <w:t>BNG</w:t>
      </w:r>
      <w:r w:rsidR="00A01BC8">
        <w:t xml:space="preserve"> (a benefit as well beyond the 10% - non statutory in this case </w:t>
      </w:r>
      <w:r w:rsidR="001C2D0E">
        <w:t>–</w:t>
      </w:r>
      <w:r w:rsidR="00A01BC8">
        <w:t xml:space="preserve"> </w:t>
      </w:r>
      <w:r w:rsidR="001C2D0E">
        <w:t>likely to be 20% minimum but up to 100%)</w:t>
      </w:r>
      <w:r w:rsidR="005373A9">
        <w:t xml:space="preserve">, </w:t>
      </w:r>
    </w:p>
    <w:p w14:paraId="061C206D" w14:textId="77777777" w:rsidR="005C32FD" w:rsidRDefault="005C32FD" w:rsidP="00E46A5C">
      <w:pPr>
        <w:pStyle w:val="ListParagraph"/>
      </w:pPr>
    </w:p>
    <w:p w14:paraId="3689CE57" w14:textId="77777777" w:rsidR="005C32FD" w:rsidRDefault="005C32FD" w:rsidP="00E46A5C">
      <w:pPr>
        <w:pStyle w:val="ListParagraph"/>
      </w:pPr>
    </w:p>
    <w:p w14:paraId="08F0F2B9" w14:textId="77777777" w:rsidR="005C32FD" w:rsidRDefault="005C32FD" w:rsidP="00E46A5C">
      <w:pPr>
        <w:pStyle w:val="ListParagraph"/>
      </w:pPr>
    </w:p>
    <w:p w14:paraId="6F48E2A6" w14:textId="53A3259F" w:rsidR="005C32FD" w:rsidRPr="00246BE4" w:rsidRDefault="005C32FD" w:rsidP="00E46A5C">
      <w:pPr>
        <w:pStyle w:val="ListParagraph"/>
        <w:rPr>
          <w:b/>
          <w:bCs w:val="0"/>
        </w:rPr>
      </w:pPr>
      <w:r w:rsidRPr="00246BE4">
        <w:rPr>
          <w:b/>
          <w:bCs w:val="0"/>
        </w:rPr>
        <w:t>Conditions and s.106</w:t>
      </w:r>
    </w:p>
    <w:p w14:paraId="61649F5C" w14:textId="77777777" w:rsidR="005C32FD" w:rsidRPr="00246BE4" w:rsidRDefault="005C32FD" w:rsidP="00E46A5C">
      <w:pPr>
        <w:pStyle w:val="ListParagraph"/>
        <w:rPr>
          <w:b/>
          <w:bCs w:val="0"/>
        </w:rPr>
      </w:pPr>
    </w:p>
    <w:p w14:paraId="4A120D3F" w14:textId="77777777" w:rsidR="005C32FD" w:rsidRDefault="005C32FD" w:rsidP="00E46A5C">
      <w:pPr>
        <w:pStyle w:val="ListParagraph"/>
      </w:pPr>
    </w:p>
    <w:p w14:paraId="3A6D39FB" w14:textId="1156716B" w:rsidR="002F7BB5" w:rsidRDefault="00246BE4" w:rsidP="00831FC6">
      <w:pPr>
        <w:pStyle w:val="ListParagraph"/>
        <w:numPr>
          <w:ilvl w:val="0"/>
          <w:numId w:val="1"/>
        </w:numPr>
        <w:spacing w:line="360" w:lineRule="auto"/>
        <w:jc w:val="both"/>
      </w:pPr>
      <w:r>
        <w:t>The conditions have been discussed at the inquiry</w:t>
      </w:r>
      <w:r w:rsidR="006F5361">
        <w:t xml:space="preserve">, as has the s.106 obligation. There are no areas of disagreement on those matters as between the Council and the Applicant. </w:t>
      </w:r>
    </w:p>
    <w:p w14:paraId="3697A3BD" w14:textId="77777777" w:rsidR="002F7BB5" w:rsidRDefault="002F7BB5" w:rsidP="002F7BB5">
      <w:pPr>
        <w:pStyle w:val="ListParagraph"/>
      </w:pPr>
    </w:p>
    <w:p w14:paraId="02453FB6" w14:textId="77777777" w:rsidR="002F7BB5" w:rsidRDefault="002F7BB5" w:rsidP="002F7BB5">
      <w:pPr>
        <w:pStyle w:val="ListParagraph"/>
      </w:pPr>
    </w:p>
    <w:p w14:paraId="74653C85" w14:textId="77777777" w:rsidR="00831FC6" w:rsidRDefault="00831FC6" w:rsidP="002F7BB5">
      <w:pPr>
        <w:pStyle w:val="ListParagraph"/>
      </w:pPr>
    </w:p>
    <w:p w14:paraId="50F37FB8" w14:textId="77777777" w:rsidR="002F7BB5" w:rsidRDefault="002F7BB5" w:rsidP="002F7BB5">
      <w:pPr>
        <w:pStyle w:val="ListParagraph"/>
      </w:pPr>
    </w:p>
    <w:p w14:paraId="0F7C4AFB" w14:textId="06ADF308" w:rsidR="002F7BB5" w:rsidRPr="002F7BB5" w:rsidRDefault="002F7BB5" w:rsidP="002F7BB5">
      <w:pPr>
        <w:pStyle w:val="ListParagraph"/>
        <w:rPr>
          <w:b/>
          <w:bCs w:val="0"/>
        </w:rPr>
      </w:pPr>
      <w:r>
        <w:rPr>
          <w:b/>
          <w:bCs w:val="0"/>
        </w:rPr>
        <w:t>Conclusions</w:t>
      </w:r>
    </w:p>
    <w:p w14:paraId="156B703C" w14:textId="77777777" w:rsidR="002F7BB5" w:rsidRDefault="002F7BB5" w:rsidP="002F7BB5">
      <w:pPr>
        <w:pStyle w:val="ListParagraph"/>
      </w:pPr>
    </w:p>
    <w:p w14:paraId="5D076F13" w14:textId="77777777" w:rsidR="002F7BB5" w:rsidRDefault="002F7BB5" w:rsidP="002F7BB5">
      <w:pPr>
        <w:pStyle w:val="ListParagraph"/>
      </w:pPr>
    </w:p>
    <w:p w14:paraId="2114EA4C" w14:textId="5D8F74FD" w:rsidR="002F7BB5" w:rsidRDefault="00831FC6" w:rsidP="002F7BB5">
      <w:pPr>
        <w:pStyle w:val="ListParagraph"/>
        <w:numPr>
          <w:ilvl w:val="0"/>
          <w:numId w:val="1"/>
        </w:numPr>
        <w:spacing w:line="360" w:lineRule="auto"/>
        <w:jc w:val="both"/>
      </w:pPr>
      <w:r>
        <w:t>It is agreed that:</w:t>
      </w:r>
    </w:p>
    <w:p w14:paraId="70AA18B8" w14:textId="2D9D776B" w:rsidR="00831FC6" w:rsidRDefault="00831FC6" w:rsidP="00831FC6">
      <w:pPr>
        <w:pStyle w:val="ListParagraph"/>
        <w:spacing w:line="360" w:lineRule="auto"/>
        <w:jc w:val="both"/>
      </w:pPr>
    </w:p>
    <w:p w14:paraId="173431DD" w14:textId="5E564D1B" w:rsidR="00831FC6" w:rsidRDefault="000B46CC" w:rsidP="00831FC6">
      <w:pPr>
        <w:pStyle w:val="ListParagraph"/>
        <w:numPr>
          <w:ilvl w:val="0"/>
          <w:numId w:val="9"/>
        </w:numPr>
        <w:spacing w:line="360" w:lineRule="auto"/>
        <w:jc w:val="both"/>
      </w:pPr>
      <w:r>
        <w:t>NPPF paragraph 125(c) is engaged and the harm caused by the scheme would not be “substantial” therefore it is agreed that the Government policy is that permission should be granted.</w:t>
      </w:r>
    </w:p>
    <w:p w14:paraId="2F74C5DF" w14:textId="55D16663" w:rsidR="000B46CC" w:rsidRDefault="000B46CC" w:rsidP="000B46CC">
      <w:pPr>
        <w:pStyle w:val="ListParagraph"/>
        <w:spacing w:line="360" w:lineRule="auto"/>
        <w:ind w:left="1080"/>
        <w:jc w:val="both"/>
      </w:pPr>
    </w:p>
    <w:p w14:paraId="49ACA5E1" w14:textId="704BDBFF" w:rsidR="000B46CC" w:rsidRDefault="000B46CC" w:rsidP="00831FC6">
      <w:pPr>
        <w:pStyle w:val="ListParagraph"/>
        <w:numPr>
          <w:ilvl w:val="0"/>
          <w:numId w:val="9"/>
        </w:numPr>
        <w:spacing w:line="360" w:lineRule="auto"/>
        <w:jc w:val="both"/>
      </w:pPr>
      <w:r>
        <w:t>No other identified harm</w:t>
      </w:r>
      <w:r w:rsidR="00C17CF5">
        <w:t xml:space="preserve"> (townscape, heritage, outlook) would be such as to prevent (either individually or cumulatively) permission being granted.</w:t>
      </w:r>
    </w:p>
    <w:p w14:paraId="6CA5C065" w14:textId="77777777" w:rsidR="00C17CF5" w:rsidRDefault="00C17CF5" w:rsidP="00C17CF5">
      <w:pPr>
        <w:pStyle w:val="ListParagraph"/>
      </w:pPr>
    </w:p>
    <w:p w14:paraId="250FDD33" w14:textId="2D834B4B" w:rsidR="00C17CF5" w:rsidRDefault="00C17CF5" w:rsidP="00831FC6">
      <w:pPr>
        <w:pStyle w:val="ListParagraph"/>
        <w:numPr>
          <w:ilvl w:val="0"/>
          <w:numId w:val="9"/>
        </w:numPr>
        <w:spacing w:line="360" w:lineRule="auto"/>
        <w:jc w:val="both"/>
      </w:pPr>
      <w:r>
        <w:t>With the condition on DSO (draft condition 4) in place, the parties agree that there is no DSO objection to the grant of permission.</w:t>
      </w:r>
    </w:p>
    <w:p w14:paraId="1B7D9FD8" w14:textId="77777777" w:rsidR="00D30A5B" w:rsidRDefault="00D30A5B" w:rsidP="00D30A5B">
      <w:pPr>
        <w:pStyle w:val="ListParagraph"/>
      </w:pPr>
    </w:p>
    <w:p w14:paraId="008F7B66" w14:textId="04CB6BAF" w:rsidR="00D30A5B" w:rsidRDefault="00D30A5B" w:rsidP="00831FC6">
      <w:pPr>
        <w:pStyle w:val="ListParagraph"/>
        <w:numPr>
          <w:ilvl w:val="0"/>
          <w:numId w:val="9"/>
        </w:numPr>
        <w:spacing w:line="360" w:lineRule="auto"/>
        <w:jc w:val="both"/>
      </w:pPr>
      <w:r>
        <w:t>On that basis the parties agree that the scheme complies with the development plan and the NPPF.</w:t>
      </w:r>
    </w:p>
    <w:p w14:paraId="0004A09D" w14:textId="77777777" w:rsidR="00831FC6" w:rsidRDefault="00831FC6" w:rsidP="00831FC6">
      <w:pPr>
        <w:pStyle w:val="ListParagraph"/>
        <w:spacing w:line="360" w:lineRule="auto"/>
        <w:jc w:val="both"/>
      </w:pPr>
    </w:p>
    <w:p w14:paraId="59A5DB1F" w14:textId="00B35822" w:rsidR="00831FC6" w:rsidRDefault="00D30A5B" w:rsidP="002F7BB5">
      <w:pPr>
        <w:pStyle w:val="ListParagraph"/>
        <w:numPr>
          <w:ilvl w:val="0"/>
          <w:numId w:val="1"/>
        </w:numPr>
        <w:spacing w:line="360" w:lineRule="auto"/>
        <w:jc w:val="both"/>
      </w:pPr>
      <w:r>
        <w:t xml:space="preserve">Even without the DSO condition, the </w:t>
      </w:r>
      <w:r w:rsidR="00166C10">
        <w:t>evidence is very clear that permission should be granted. The townscape and heritage harms were never said by the Council to amount to objections in themselves to the grant of permission, and it is clear that the issue of outlook also fell into that category.</w:t>
      </w:r>
    </w:p>
    <w:p w14:paraId="2F0C6A88" w14:textId="6960F7C6" w:rsidR="00166C10" w:rsidRDefault="00166C10" w:rsidP="00166C10">
      <w:pPr>
        <w:pStyle w:val="ListParagraph"/>
        <w:spacing w:line="360" w:lineRule="auto"/>
        <w:jc w:val="both"/>
      </w:pPr>
    </w:p>
    <w:p w14:paraId="508CFC8B" w14:textId="5392EAA1" w:rsidR="00166C10" w:rsidRDefault="00166C10" w:rsidP="002F7BB5">
      <w:pPr>
        <w:pStyle w:val="ListParagraph"/>
        <w:numPr>
          <w:ilvl w:val="0"/>
          <w:numId w:val="1"/>
        </w:numPr>
        <w:spacing w:line="360" w:lineRule="auto"/>
        <w:jc w:val="both"/>
      </w:pPr>
      <w:r>
        <w:t xml:space="preserve">The DSO objection </w:t>
      </w:r>
      <w:r w:rsidR="00CD41FE">
        <w:t xml:space="preserve">to the PP version of the scheme is weak because it is based on a very difficult proposition: that an urban PDL site recognised as a key opportunity to optimise a sustainable site for uses which would inevitably have the effect of reducing daylight levels below BRE default guidance to some extent (all agreed) should be judged by reference largely to the default 27% VSC, as if it was a suburban site where only other suburban housing was appropriate. </w:t>
      </w:r>
      <w:r w:rsidR="00043E94">
        <w:t xml:space="preserve">The last 10 years of DSO policy and decisions appears simply to have been forgotten on the basis that this is Cambridge and not London. But the principles apply – indeed must apply, given the huge importance of this location nationally – to </w:t>
      </w:r>
      <w:r w:rsidR="002D4774">
        <w:t xml:space="preserve">sustainable PDL sites in Cambridge. To find that only 27% VSC or something very close to it is acceptable on sites in Cambridge would be wrong, as well as sending a dubious message </w:t>
      </w:r>
      <w:r w:rsidR="001E1F99">
        <w:t xml:space="preserve">to policy makers and decision takers in this critical place. </w:t>
      </w:r>
    </w:p>
    <w:p w14:paraId="2226CBF0" w14:textId="77777777" w:rsidR="001E1F99" w:rsidRDefault="001E1F99" w:rsidP="001E1F99">
      <w:pPr>
        <w:pStyle w:val="ListParagraph"/>
      </w:pPr>
    </w:p>
    <w:p w14:paraId="1F051C99" w14:textId="5A78C428" w:rsidR="001E1F99" w:rsidRDefault="001E1F99" w:rsidP="002F7BB5">
      <w:pPr>
        <w:pStyle w:val="ListParagraph"/>
        <w:numPr>
          <w:ilvl w:val="0"/>
          <w:numId w:val="1"/>
        </w:numPr>
        <w:spacing w:line="360" w:lineRule="auto"/>
        <w:jc w:val="both"/>
      </w:pPr>
      <w:r>
        <w:t>Mr Lonergan is right in his evidence and the PP scheme would have an acceptable effect on residential amenity</w:t>
      </w:r>
      <w:r w:rsidR="00AE0B88">
        <w:t>,</w:t>
      </w:r>
      <w:r>
        <w:t xml:space="preserve"> bearing in mind the context. </w:t>
      </w:r>
      <w:r w:rsidR="00852631">
        <w:t>The scheme as a whole has been designed and amended with great care and significant engagement with local stakeholders</w:t>
      </w:r>
      <w:r w:rsidR="00AE0B88">
        <w:t xml:space="preserve"> and would create a wonderful new piece of Cambridge</w:t>
      </w:r>
      <w:r w:rsidR="00852631">
        <w:t xml:space="preserve">. It would (including in its PP form) </w:t>
      </w:r>
      <w:r w:rsidR="00B041E7">
        <w:t>comply with the adopted plan and the NPPF and would represent another tangible step toward the growth in Cambridge t</w:t>
      </w:r>
      <w:r w:rsidR="00AE0B88">
        <w:t xml:space="preserve">hat the Government wishes to see. </w:t>
      </w:r>
    </w:p>
    <w:p w14:paraId="49E284BB" w14:textId="77777777" w:rsidR="00AE0B88" w:rsidRDefault="00AE0B88" w:rsidP="00AE0B88">
      <w:pPr>
        <w:pStyle w:val="ListParagraph"/>
      </w:pPr>
    </w:p>
    <w:p w14:paraId="79338E2E" w14:textId="5F8211C4" w:rsidR="00AE0B88" w:rsidRDefault="00AE0B88" w:rsidP="002F7BB5">
      <w:pPr>
        <w:pStyle w:val="ListParagraph"/>
        <w:numPr>
          <w:ilvl w:val="0"/>
          <w:numId w:val="1"/>
        </w:numPr>
        <w:spacing w:line="360" w:lineRule="auto"/>
        <w:jc w:val="both"/>
      </w:pPr>
      <w:r>
        <w:t>For these reasons, subject to the conditions and section 106 obligation, the Applicant asks for the application to be approved.</w:t>
      </w:r>
    </w:p>
    <w:p w14:paraId="1BFCC7E5" w14:textId="77777777" w:rsidR="002F7BB5" w:rsidRDefault="002F7BB5" w:rsidP="002F7BB5">
      <w:pPr>
        <w:pStyle w:val="ListParagraph"/>
      </w:pPr>
    </w:p>
    <w:p w14:paraId="26F1A262" w14:textId="1BF08211" w:rsidR="002F7BB5" w:rsidRDefault="002F7BB5" w:rsidP="00AE0B88">
      <w:pPr>
        <w:pStyle w:val="ListParagraph"/>
        <w:spacing w:line="360" w:lineRule="auto"/>
        <w:jc w:val="both"/>
      </w:pPr>
    </w:p>
    <w:p w14:paraId="34FE7D9F" w14:textId="77777777" w:rsidR="00AE0B88" w:rsidRDefault="00AE0B88" w:rsidP="00AE0B88">
      <w:pPr>
        <w:pStyle w:val="ListParagraph"/>
        <w:spacing w:line="360" w:lineRule="auto"/>
        <w:jc w:val="both"/>
      </w:pPr>
    </w:p>
    <w:p w14:paraId="26838E8E" w14:textId="77777777" w:rsidR="00AE0B88" w:rsidRDefault="00AE0B88" w:rsidP="00AE0B88">
      <w:pPr>
        <w:pStyle w:val="ListParagraph"/>
        <w:spacing w:line="360" w:lineRule="auto"/>
        <w:jc w:val="both"/>
      </w:pPr>
    </w:p>
    <w:p w14:paraId="5489F94A" w14:textId="31D0FB85" w:rsidR="00AE0B88" w:rsidRDefault="00AE0B88" w:rsidP="00AE0B88">
      <w:pPr>
        <w:pStyle w:val="ListParagraph"/>
        <w:spacing w:line="360" w:lineRule="auto"/>
        <w:jc w:val="right"/>
        <w:rPr>
          <w:b/>
          <w:bCs w:val="0"/>
        </w:rPr>
      </w:pPr>
      <w:r>
        <w:rPr>
          <w:b/>
          <w:bCs w:val="0"/>
        </w:rPr>
        <w:t>RUPERT WARREN K.C.</w:t>
      </w:r>
    </w:p>
    <w:p w14:paraId="7F4EC85B" w14:textId="77777777" w:rsidR="00AE0B88" w:rsidRDefault="00AE0B88" w:rsidP="00AE0B88">
      <w:pPr>
        <w:pStyle w:val="ListParagraph"/>
        <w:spacing w:line="360" w:lineRule="auto"/>
        <w:jc w:val="right"/>
        <w:rPr>
          <w:b/>
          <w:bCs w:val="0"/>
        </w:rPr>
      </w:pPr>
    </w:p>
    <w:p w14:paraId="3C5133EB" w14:textId="378DE25F" w:rsidR="00AE0B88" w:rsidRDefault="00AE0B88" w:rsidP="00AE0B88">
      <w:pPr>
        <w:pStyle w:val="ListParagraph"/>
        <w:spacing w:line="240" w:lineRule="auto"/>
        <w:jc w:val="right"/>
        <w:rPr>
          <w:b/>
          <w:bCs w:val="0"/>
        </w:rPr>
      </w:pPr>
      <w:r>
        <w:rPr>
          <w:b/>
          <w:bCs w:val="0"/>
        </w:rPr>
        <w:t>Landmark Chambers</w:t>
      </w:r>
    </w:p>
    <w:p w14:paraId="76D18EB7" w14:textId="2D28D4A7" w:rsidR="00AE0B88" w:rsidRDefault="00AE0B88" w:rsidP="00AE0B88">
      <w:pPr>
        <w:pStyle w:val="ListParagraph"/>
        <w:spacing w:line="240" w:lineRule="auto"/>
        <w:jc w:val="right"/>
        <w:rPr>
          <w:b/>
          <w:bCs w:val="0"/>
        </w:rPr>
      </w:pPr>
      <w:r>
        <w:rPr>
          <w:b/>
          <w:bCs w:val="0"/>
        </w:rPr>
        <w:t>180 Fleet Street</w:t>
      </w:r>
    </w:p>
    <w:p w14:paraId="5A92F978" w14:textId="1EAC55DF" w:rsidR="00AE0B88" w:rsidRDefault="00AE0B88" w:rsidP="00AE0B88">
      <w:pPr>
        <w:pStyle w:val="ListParagraph"/>
        <w:spacing w:line="240" w:lineRule="auto"/>
        <w:jc w:val="right"/>
        <w:rPr>
          <w:b/>
          <w:bCs w:val="0"/>
        </w:rPr>
      </w:pPr>
      <w:r>
        <w:rPr>
          <w:b/>
          <w:bCs w:val="0"/>
        </w:rPr>
        <w:t>London EC4A 2HG</w:t>
      </w:r>
    </w:p>
    <w:p w14:paraId="11668D6D" w14:textId="77777777" w:rsidR="00AE0B88" w:rsidRDefault="00AE0B88" w:rsidP="00AE0B88">
      <w:pPr>
        <w:pStyle w:val="ListParagraph"/>
        <w:spacing w:line="240" w:lineRule="auto"/>
        <w:jc w:val="right"/>
        <w:rPr>
          <w:b/>
          <w:bCs w:val="0"/>
        </w:rPr>
      </w:pPr>
    </w:p>
    <w:p w14:paraId="57B4D762" w14:textId="7BCB8CB6" w:rsidR="00AE0B88" w:rsidRPr="00AE0B88" w:rsidRDefault="00AE0B88" w:rsidP="00AE0B88">
      <w:pPr>
        <w:pStyle w:val="ListParagraph"/>
        <w:spacing w:line="240" w:lineRule="auto"/>
        <w:jc w:val="right"/>
        <w:rPr>
          <w:b/>
          <w:bCs w:val="0"/>
        </w:rPr>
      </w:pPr>
      <w:r>
        <w:rPr>
          <w:b/>
          <w:bCs w:val="0"/>
        </w:rPr>
        <w:t>2 July 2025</w:t>
      </w:r>
    </w:p>
    <w:sectPr w:rsidR="00AE0B88" w:rsidRPr="00AE0B8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B3285" w14:textId="77777777" w:rsidR="005A1C82" w:rsidRDefault="005A1C82" w:rsidP="005A1C82">
      <w:pPr>
        <w:spacing w:after="0" w:line="240" w:lineRule="auto"/>
      </w:pPr>
      <w:r>
        <w:separator/>
      </w:r>
    </w:p>
  </w:endnote>
  <w:endnote w:type="continuationSeparator" w:id="0">
    <w:p w14:paraId="3909E3D7" w14:textId="77777777" w:rsidR="005A1C82" w:rsidRDefault="005A1C82" w:rsidP="005A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643582"/>
      <w:docPartObj>
        <w:docPartGallery w:val="Page Numbers (Bottom of Page)"/>
        <w:docPartUnique/>
      </w:docPartObj>
    </w:sdtPr>
    <w:sdtEndPr/>
    <w:sdtContent>
      <w:p w14:paraId="206C757E" w14:textId="78AC419E" w:rsidR="005A1C82" w:rsidRDefault="005A1C82">
        <w:pPr>
          <w:pStyle w:val="Footer"/>
          <w:jc w:val="center"/>
        </w:pPr>
        <w:r>
          <w:fldChar w:fldCharType="begin"/>
        </w:r>
        <w:r>
          <w:instrText>PAGE   \* MERGEFORMAT</w:instrText>
        </w:r>
        <w:r>
          <w:fldChar w:fldCharType="separate"/>
        </w:r>
        <w:r>
          <w:t>2</w:t>
        </w:r>
        <w:r>
          <w:fldChar w:fldCharType="end"/>
        </w:r>
      </w:p>
    </w:sdtContent>
  </w:sdt>
  <w:p w14:paraId="42542254" w14:textId="77777777" w:rsidR="005A1C82" w:rsidRDefault="005A1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B634D" w14:textId="77777777" w:rsidR="005A1C82" w:rsidRDefault="005A1C82" w:rsidP="005A1C82">
      <w:pPr>
        <w:spacing w:after="0" w:line="240" w:lineRule="auto"/>
      </w:pPr>
      <w:r>
        <w:separator/>
      </w:r>
    </w:p>
  </w:footnote>
  <w:footnote w:type="continuationSeparator" w:id="0">
    <w:p w14:paraId="55EC399B" w14:textId="77777777" w:rsidR="005A1C82" w:rsidRDefault="005A1C82" w:rsidP="005A1C82">
      <w:pPr>
        <w:spacing w:after="0" w:line="240" w:lineRule="auto"/>
      </w:pPr>
      <w:r>
        <w:continuationSeparator/>
      </w:r>
    </w:p>
  </w:footnote>
  <w:footnote w:id="1">
    <w:p w14:paraId="74B6C2C7" w14:textId="2F5C6444" w:rsidR="00C04849" w:rsidRDefault="00C04849">
      <w:pPr>
        <w:pStyle w:val="FootnoteText"/>
      </w:pPr>
      <w:r>
        <w:rPr>
          <w:rStyle w:val="FootnoteReference"/>
        </w:rPr>
        <w:footnoteRef/>
      </w:r>
      <w:r>
        <w:t xml:space="preserve"> Cambridge City Council and South Cambridgeshire operate as a joint planning service.</w:t>
      </w:r>
    </w:p>
  </w:footnote>
  <w:footnote w:id="2">
    <w:p w14:paraId="4A648D9E" w14:textId="3D1CA387" w:rsidR="00850B8B" w:rsidRDefault="00850B8B">
      <w:pPr>
        <w:pStyle w:val="FootnoteText"/>
      </w:pPr>
      <w:r>
        <w:rPr>
          <w:rStyle w:val="FootnoteReference"/>
        </w:rPr>
        <w:footnoteRef/>
      </w:r>
      <w:r>
        <w:t xml:space="preserve"> IQ 1.04</w:t>
      </w:r>
    </w:p>
  </w:footnote>
  <w:footnote w:id="3">
    <w:p w14:paraId="356D5CD4" w14:textId="466BFCF7" w:rsidR="00F060CA" w:rsidRDefault="00F060CA">
      <w:pPr>
        <w:pStyle w:val="FootnoteText"/>
      </w:pPr>
      <w:r>
        <w:rPr>
          <w:rStyle w:val="FootnoteReference"/>
        </w:rPr>
        <w:footnoteRef/>
      </w:r>
      <w:r>
        <w:t xml:space="preserve"> CD6.03.</w:t>
      </w:r>
    </w:p>
  </w:footnote>
  <w:footnote w:id="4">
    <w:p w14:paraId="7BEDA01C" w14:textId="11B2DA99" w:rsidR="002D75C5" w:rsidRDefault="002D75C5">
      <w:pPr>
        <w:pStyle w:val="FootnoteText"/>
      </w:pPr>
      <w:r>
        <w:rPr>
          <w:rStyle w:val="FootnoteReference"/>
        </w:rPr>
        <w:footnoteRef/>
      </w:r>
      <w:r>
        <w:t xml:space="preserve"> CD6.03.</w:t>
      </w:r>
    </w:p>
  </w:footnote>
  <w:footnote w:id="5">
    <w:p w14:paraId="2A6854BF" w14:textId="49E44DA4" w:rsidR="009C1D24" w:rsidRDefault="009C1D24">
      <w:pPr>
        <w:pStyle w:val="FootnoteText"/>
      </w:pPr>
      <w:r>
        <w:rPr>
          <w:rStyle w:val="FootnoteReference"/>
        </w:rPr>
        <w:footnoteRef/>
      </w:r>
      <w:r>
        <w:t xml:space="preserve"> </w:t>
      </w:r>
      <w:r w:rsidR="008D0A4E">
        <w:t>Proof pages 5-</w:t>
      </w:r>
      <w:r w:rsidR="00411979">
        <w:t>6 and in the Presentation (Day 1)</w:t>
      </w:r>
      <w:r w:rsidR="00E27B31">
        <w:t xml:space="preserve"> CD7.10.</w:t>
      </w:r>
    </w:p>
  </w:footnote>
  <w:footnote w:id="6">
    <w:p w14:paraId="5AB7AA67" w14:textId="05F13CB4" w:rsidR="004A55E4" w:rsidRDefault="004A55E4">
      <w:pPr>
        <w:pStyle w:val="FootnoteText"/>
      </w:pPr>
      <w:r>
        <w:rPr>
          <w:rStyle w:val="FootnoteReference"/>
        </w:rPr>
        <w:footnoteRef/>
      </w:r>
      <w:r>
        <w:t xml:space="preserve"> Proof Section 3</w:t>
      </w:r>
    </w:p>
  </w:footnote>
  <w:footnote w:id="7">
    <w:p w14:paraId="43FF56D9" w14:textId="57304F9D" w:rsidR="00BF634F" w:rsidRDefault="00BF634F">
      <w:pPr>
        <w:pStyle w:val="FootnoteText"/>
      </w:pPr>
      <w:r>
        <w:rPr>
          <w:rStyle w:val="FootnoteReference"/>
        </w:rPr>
        <w:footnoteRef/>
      </w:r>
      <w:r>
        <w:t xml:space="preserve"> CD1.00 and 2.00</w:t>
      </w:r>
    </w:p>
  </w:footnote>
  <w:footnote w:id="8">
    <w:p w14:paraId="07C891DE" w14:textId="68E1D127" w:rsidR="00AE4363" w:rsidRDefault="00AE4363">
      <w:pPr>
        <w:pStyle w:val="FootnoteText"/>
      </w:pPr>
      <w:r>
        <w:rPr>
          <w:rStyle w:val="FootnoteReference"/>
        </w:rPr>
        <w:footnoteRef/>
      </w:r>
      <w:r>
        <w:t xml:space="preserve"> CD3.01 paragraph 30.34.</w:t>
      </w:r>
    </w:p>
  </w:footnote>
  <w:footnote w:id="9">
    <w:p w14:paraId="1FB5C5CB" w14:textId="3E6D64E0" w:rsidR="00543011" w:rsidRDefault="00543011">
      <w:pPr>
        <w:pStyle w:val="FootnoteText"/>
      </w:pPr>
      <w:r>
        <w:rPr>
          <w:rStyle w:val="FootnoteReference"/>
        </w:rPr>
        <w:footnoteRef/>
      </w:r>
      <w:r>
        <w:t xml:space="preserve"> CD6.01 paragraph 7.21.</w:t>
      </w:r>
    </w:p>
  </w:footnote>
  <w:footnote w:id="10">
    <w:p w14:paraId="5496F8CF" w14:textId="2E75BF46" w:rsidR="00F2192D" w:rsidRDefault="00F2192D">
      <w:pPr>
        <w:pStyle w:val="FootnoteText"/>
      </w:pPr>
      <w:r>
        <w:rPr>
          <w:rStyle w:val="FootnoteReference"/>
        </w:rPr>
        <w:footnoteRef/>
      </w:r>
      <w:r>
        <w:t xml:space="preserve"> Ibid paragraph 9.2(a).</w:t>
      </w:r>
    </w:p>
  </w:footnote>
  <w:footnote w:id="11">
    <w:p w14:paraId="0A9F6761" w14:textId="34BCCDA3" w:rsidR="003875BD" w:rsidRDefault="003875BD">
      <w:pPr>
        <w:pStyle w:val="FootnoteText"/>
      </w:pPr>
      <w:r>
        <w:rPr>
          <w:rStyle w:val="FootnoteReference"/>
        </w:rPr>
        <w:footnoteRef/>
      </w:r>
      <w:r>
        <w:t xml:space="preserve"> Ibid paragraph </w:t>
      </w:r>
      <w:r w:rsidR="0013137B">
        <w:t>7.20.</w:t>
      </w:r>
    </w:p>
  </w:footnote>
  <w:footnote w:id="12">
    <w:p w14:paraId="658A108C" w14:textId="5EFCA837" w:rsidR="004F52C0" w:rsidRDefault="004F52C0">
      <w:pPr>
        <w:pStyle w:val="FootnoteText"/>
      </w:pPr>
      <w:r>
        <w:rPr>
          <w:rStyle w:val="FootnoteReference"/>
        </w:rPr>
        <w:footnoteRef/>
      </w:r>
      <w:r>
        <w:t xml:space="preserve"> CD 7.21, page 17.</w:t>
      </w:r>
    </w:p>
  </w:footnote>
  <w:footnote w:id="13">
    <w:p w14:paraId="32417D37" w14:textId="0AB303EC" w:rsidR="00E46BB9" w:rsidRDefault="00E46BB9">
      <w:pPr>
        <w:pStyle w:val="FootnoteText"/>
      </w:pPr>
      <w:r>
        <w:rPr>
          <w:rStyle w:val="FootnoteReference"/>
        </w:rPr>
        <w:footnoteRef/>
      </w:r>
      <w:r>
        <w:t xml:space="preserve"> CD9.12</w:t>
      </w:r>
      <w:r w:rsidR="00487530">
        <w:t>.</w:t>
      </w:r>
    </w:p>
  </w:footnote>
  <w:footnote w:id="14">
    <w:p w14:paraId="2A1005CC" w14:textId="32098322" w:rsidR="00A42D7A" w:rsidRDefault="00A42D7A">
      <w:pPr>
        <w:pStyle w:val="FootnoteText"/>
      </w:pPr>
      <w:r>
        <w:rPr>
          <w:rStyle w:val="FootnoteReference"/>
        </w:rPr>
        <w:footnoteRef/>
      </w:r>
      <w:r>
        <w:t xml:space="preserve"> See Mr O’Byrne paragraph 5.24 page 24.</w:t>
      </w:r>
    </w:p>
  </w:footnote>
  <w:footnote w:id="15">
    <w:p w14:paraId="5B674288" w14:textId="4967C6BE" w:rsidR="00C24E3D" w:rsidRDefault="00C24E3D">
      <w:pPr>
        <w:pStyle w:val="FootnoteText"/>
      </w:pPr>
      <w:r>
        <w:rPr>
          <w:rStyle w:val="FootnoteReference"/>
        </w:rPr>
        <w:footnoteRef/>
      </w:r>
      <w:r>
        <w:t xml:space="preserve"> Ibid paragraph 5.26.</w:t>
      </w:r>
    </w:p>
  </w:footnote>
  <w:footnote w:id="16">
    <w:p w14:paraId="0309AC5A" w14:textId="24C5399D" w:rsidR="00365B1C" w:rsidRDefault="00365B1C">
      <w:pPr>
        <w:pStyle w:val="FootnoteText"/>
      </w:pPr>
      <w:r>
        <w:rPr>
          <w:rStyle w:val="FootnoteReference"/>
        </w:rPr>
        <w:footnoteRef/>
      </w:r>
      <w:r>
        <w:t xml:space="preserve"> Ibid paragraph 5.29</w:t>
      </w:r>
    </w:p>
  </w:footnote>
  <w:footnote w:id="17">
    <w:p w14:paraId="027525EA" w14:textId="77777777" w:rsidR="003F10C7" w:rsidRDefault="003F10C7" w:rsidP="003F10C7">
      <w:pPr>
        <w:pStyle w:val="FootnoteText"/>
      </w:pPr>
      <w:r>
        <w:rPr>
          <w:rStyle w:val="FootnoteReference"/>
        </w:rPr>
        <w:footnoteRef/>
      </w:r>
      <w:r>
        <w:t xml:space="preserve"> Ibid paragraph 5.32 and Table 5.</w:t>
      </w:r>
    </w:p>
  </w:footnote>
  <w:footnote w:id="18">
    <w:p w14:paraId="12C5DF05" w14:textId="424F7ACB" w:rsidR="00CF2042" w:rsidRDefault="00CF2042">
      <w:pPr>
        <w:pStyle w:val="FootnoteText"/>
      </w:pPr>
      <w:r>
        <w:rPr>
          <w:rStyle w:val="FootnoteReference"/>
        </w:rPr>
        <w:footnoteRef/>
      </w:r>
      <w:r>
        <w:t xml:space="preserve"> Ibid Table 5.2 page 28</w:t>
      </w:r>
    </w:p>
  </w:footnote>
  <w:footnote w:id="19">
    <w:p w14:paraId="6E9062D4" w14:textId="5110F389" w:rsidR="002968A0" w:rsidRDefault="002968A0">
      <w:pPr>
        <w:pStyle w:val="FootnoteText"/>
      </w:pPr>
      <w:r>
        <w:rPr>
          <w:rStyle w:val="FootnoteReference"/>
        </w:rPr>
        <w:footnoteRef/>
      </w:r>
      <w:r>
        <w:t xml:space="preserve"> For the detailed breakdown, see Mr O’Byrne pages </w:t>
      </w:r>
      <w:r w:rsidR="00EA327F">
        <w:t>11-15.</w:t>
      </w:r>
    </w:p>
  </w:footnote>
  <w:footnote w:id="20">
    <w:p w14:paraId="7F1791E3" w14:textId="71647F8C" w:rsidR="00C45DFE" w:rsidRDefault="00C45DFE">
      <w:pPr>
        <w:pStyle w:val="FootnoteText"/>
      </w:pPr>
      <w:r>
        <w:rPr>
          <w:rStyle w:val="FootnoteReference"/>
        </w:rPr>
        <w:footnoteRef/>
      </w:r>
      <w:r>
        <w:t xml:space="preserve"> See the Applicant’s Rebuttal, page 17.</w:t>
      </w:r>
    </w:p>
  </w:footnote>
  <w:footnote w:id="21">
    <w:p w14:paraId="50B26815" w14:textId="1CDA7F7A" w:rsidR="00881EEE" w:rsidRDefault="00881EEE">
      <w:pPr>
        <w:pStyle w:val="FootnoteText"/>
      </w:pPr>
      <w:r>
        <w:rPr>
          <w:rStyle w:val="FootnoteReference"/>
        </w:rPr>
        <w:footnoteRef/>
      </w:r>
      <w:r>
        <w:t xml:space="preserve"> See Mr O’Byrne’s proof page 6.</w:t>
      </w:r>
    </w:p>
  </w:footnote>
  <w:footnote w:id="22">
    <w:p w14:paraId="19804F34" w14:textId="62697B86" w:rsidR="00E81988" w:rsidRDefault="00E81988">
      <w:pPr>
        <w:pStyle w:val="FootnoteText"/>
      </w:pPr>
      <w:r>
        <w:rPr>
          <w:rStyle w:val="FootnoteReference"/>
        </w:rPr>
        <w:footnoteRef/>
      </w:r>
      <w:r>
        <w:t xml:space="preserve"> CD9.29.</w:t>
      </w:r>
    </w:p>
  </w:footnote>
  <w:footnote w:id="23">
    <w:p w14:paraId="388407DA" w14:textId="08FF18E8" w:rsidR="003B3FBC" w:rsidRDefault="003B3FBC">
      <w:pPr>
        <w:pStyle w:val="FootnoteText"/>
      </w:pPr>
      <w:r>
        <w:rPr>
          <w:rStyle w:val="FootnoteReference"/>
        </w:rPr>
        <w:footnoteRef/>
      </w:r>
      <w:r>
        <w:t xml:space="preserve"> CD9.14.</w:t>
      </w:r>
    </w:p>
  </w:footnote>
  <w:footnote w:id="24">
    <w:p w14:paraId="1EB77578" w14:textId="4787CF82" w:rsidR="0049689B" w:rsidRDefault="0049689B">
      <w:pPr>
        <w:pStyle w:val="FootnoteText"/>
      </w:pPr>
      <w:r>
        <w:rPr>
          <w:rStyle w:val="FootnoteReference"/>
        </w:rPr>
        <w:footnoteRef/>
      </w:r>
      <w:r>
        <w:t xml:space="preserve"> CD9.30.</w:t>
      </w:r>
    </w:p>
  </w:footnote>
  <w:footnote w:id="25">
    <w:p w14:paraId="3EE0CBEB" w14:textId="0CB82295" w:rsidR="00F64DEE" w:rsidRDefault="00F64DEE">
      <w:pPr>
        <w:pStyle w:val="FootnoteText"/>
      </w:pPr>
      <w:r>
        <w:rPr>
          <w:rStyle w:val="FootnoteReference"/>
        </w:rPr>
        <w:footnoteRef/>
      </w:r>
      <w:r>
        <w:t xml:space="preserve"> CD9.19.</w:t>
      </w:r>
    </w:p>
  </w:footnote>
  <w:footnote w:id="26">
    <w:p w14:paraId="20DBF3BE" w14:textId="0D5A5B3F" w:rsidR="0031700D" w:rsidRDefault="0031700D">
      <w:pPr>
        <w:pStyle w:val="FootnoteText"/>
      </w:pPr>
      <w:r>
        <w:rPr>
          <w:rStyle w:val="FootnoteReference"/>
        </w:rPr>
        <w:footnoteRef/>
      </w:r>
      <w:r>
        <w:t xml:space="preserve"> CD6.</w:t>
      </w:r>
      <w:r w:rsidR="000E581F">
        <w:t>03 paragraph 7.15-16.</w:t>
      </w:r>
    </w:p>
  </w:footnote>
  <w:footnote w:id="27">
    <w:p w14:paraId="475F90DE" w14:textId="70678381" w:rsidR="00141996" w:rsidRDefault="00141996">
      <w:pPr>
        <w:pStyle w:val="FootnoteText"/>
      </w:pPr>
      <w:r>
        <w:rPr>
          <w:rStyle w:val="FootnoteReference"/>
        </w:rPr>
        <w:footnoteRef/>
      </w:r>
      <w:r>
        <w:t xml:space="preserve"> Table 3.2, page 12 and 3.17 referring to relocations.</w:t>
      </w:r>
    </w:p>
  </w:footnote>
  <w:footnote w:id="28">
    <w:p w14:paraId="52E2C914" w14:textId="4FA4AFC8" w:rsidR="00152372" w:rsidRDefault="00152372">
      <w:pPr>
        <w:pStyle w:val="FootnoteText"/>
      </w:pPr>
      <w:r>
        <w:rPr>
          <w:rStyle w:val="FootnoteReference"/>
        </w:rPr>
        <w:footnoteRef/>
      </w:r>
      <w:r>
        <w:t xml:space="preserve"> CD6.03 paragraph 9.2(c).</w:t>
      </w:r>
    </w:p>
  </w:footnote>
  <w:footnote w:id="29">
    <w:p w14:paraId="7B3F680F" w14:textId="0A37D85C" w:rsidR="00583D70" w:rsidRDefault="00583D70">
      <w:pPr>
        <w:pStyle w:val="FootnoteText"/>
      </w:pPr>
      <w:r>
        <w:rPr>
          <w:rStyle w:val="FootnoteReference"/>
        </w:rPr>
        <w:footnoteRef/>
      </w:r>
      <w:r>
        <w:t xml:space="preserve"> See for instance the way the point is put in the Council’s Opening Submissions at the inquiry, CD</w:t>
      </w:r>
      <w:r w:rsidR="00A95B6C">
        <w:t xml:space="preserve"> IQ1 paragraph 2.</w:t>
      </w:r>
    </w:p>
  </w:footnote>
  <w:footnote w:id="30">
    <w:p w14:paraId="713B44D4" w14:textId="0960FEBF" w:rsidR="00FE3429" w:rsidRDefault="00FE3429">
      <w:pPr>
        <w:pStyle w:val="FootnoteText"/>
      </w:pPr>
      <w:r>
        <w:rPr>
          <w:rStyle w:val="FootnoteReference"/>
        </w:rPr>
        <w:footnoteRef/>
      </w:r>
      <w:r>
        <w:t xml:space="preserve"> CD7.02 paragraph 4.165.</w:t>
      </w:r>
    </w:p>
  </w:footnote>
  <w:footnote w:id="31">
    <w:p w14:paraId="1E9757FA" w14:textId="6DD43BD3" w:rsidR="00F35602" w:rsidRDefault="00F35602">
      <w:pPr>
        <w:pStyle w:val="FootnoteText"/>
      </w:pPr>
      <w:r>
        <w:rPr>
          <w:rStyle w:val="FootnoteReference"/>
        </w:rPr>
        <w:footnoteRef/>
      </w:r>
      <w:r>
        <w:t xml:space="preserve"> See Mr Maquire’s proof summary table AM7 page </w:t>
      </w:r>
      <w:r w:rsidR="006F0267">
        <w:t>45.</w:t>
      </w:r>
    </w:p>
  </w:footnote>
  <w:footnote w:id="32">
    <w:p w14:paraId="61A799AE" w14:textId="323D5541" w:rsidR="00641AFD" w:rsidRDefault="00641AFD">
      <w:pPr>
        <w:pStyle w:val="FootnoteText"/>
      </w:pPr>
      <w:r>
        <w:rPr>
          <w:rStyle w:val="FootnoteReference"/>
        </w:rPr>
        <w:footnoteRef/>
      </w:r>
      <w:r>
        <w:t xml:space="preserve"> See paragraph 5.37 of GLVIA3 as set out in Mr Maquire’s paragraph 3.2.11 page </w:t>
      </w:r>
      <w:r w:rsidR="00B40C69">
        <w:t xml:space="preserve">11. </w:t>
      </w:r>
    </w:p>
  </w:footnote>
  <w:footnote w:id="33">
    <w:p w14:paraId="0F0AC031" w14:textId="5142FE5F" w:rsidR="003F1F57" w:rsidRDefault="003F1F57">
      <w:pPr>
        <w:pStyle w:val="FootnoteText"/>
      </w:pPr>
      <w:r>
        <w:rPr>
          <w:rStyle w:val="FootnoteReference"/>
        </w:rPr>
        <w:footnoteRef/>
      </w:r>
      <w:r>
        <w:t xml:space="preserve"> </w:t>
      </w:r>
      <w:r w:rsidR="00746BD1">
        <w:t>See his summary Table AM4, pages 36-37.</w:t>
      </w:r>
    </w:p>
  </w:footnote>
  <w:footnote w:id="34">
    <w:p w14:paraId="5DD1C6B9" w14:textId="2340AA39" w:rsidR="00632EAF" w:rsidRDefault="00632EAF">
      <w:pPr>
        <w:pStyle w:val="FootnoteText"/>
      </w:pPr>
      <w:r>
        <w:rPr>
          <w:rStyle w:val="FootnoteReference"/>
        </w:rPr>
        <w:footnoteRef/>
      </w:r>
      <w:r>
        <w:t xml:space="preserve"> Ibid, page </w:t>
      </w:r>
      <w:r w:rsidR="009631BE">
        <w:t>38 at paragraphs 5.3.1-2.</w:t>
      </w:r>
    </w:p>
  </w:footnote>
  <w:footnote w:id="35">
    <w:p w14:paraId="6E34C991" w14:textId="527DE872" w:rsidR="00612288" w:rsidRDefault="00612288">
      <w:pPr>
        <w:pStyle w:val="FootnoteText"/>
      </w:pPr>
      <w:r>
        <w:rPr>
          <w:rStyle w:val="FootnoteReference"/>
        </w:rPr>
        <w:footnoteRef/>
      </w:r>
      <w:r>
        <w:t xml:space="preserve"> Ibid, Table </w:t>
      </w:r>
      <w:r w:rsidR="00736492">
        <w:t xml:space="preserve">AM5, beginning on page 38. He also finds that Policy 67 (cited in the putative reason for refusal) doesn’t really apply at all: see his page </w:t>
      </w:r>
      <w:r w:rsidR="00487735">
        <w:t>42.</w:t>
      </w:r>
    </w:p>
  </w:footnote>
  <w:footnote w:id="36">
    <w:p w14:paraId="6A6BE9C2" w14:textId="53FC110C" w:rsidR="00C17AF2" w:rsidRDefault="00C17AF2">
      <w:pPr>
        <w:pStyle w:val="FootnoteText"/>
      </w:pPr>
      <w:r>
        <w:rPr>
          <w:rStyle w:val="FootnoteReference"/>
        </w:rPr>
        <w:footnoteRef/>
      </w:r>
      <w:r>
        <w:t xml:space="preserve"> See his summary table, Table 6, page </w:t>
      </w:r>
      <w:r w:rsidR="00A50849">
        <w:t>31 of his proof.</w:t>
      </w:r>
    </w:p>
  </w:footnote>
  <w:footnote w:id="37">
    <w:p w14:paraId="133279BC" w14:textId="0E999672" w:rsidR="003319EB" w:rsidRDefault="003319EB">
      <w:pPr>
        <w:pStyle w:val="FootnoteText"/>
      </w:pPr>
      <w:r>
        <w:rPr>
          <w:rStyle w:val="FootnoteReference"/>
        </w:rPr>
        <w:footnoteRef/>
      </w:r>
      <w:r>
        <w:t xml:space="preserve"> See Mr Handforth’s Figure </w:t>
      </w:r>
      <w:r w:rsidR="002A604A">
        <w:t>8 in Appendix 3.</w:t>
      </w:r>
    </w:p>
  </w:footnote>
  <w:footnote w:id="38">
    <w:p w14:paraId="105BC2F5" w14:textId="4F8337A6" w:rsidR="00110795" w:rsidRDefault="00110795">
      <w:pPr>
        <w:pStyle w:val="FootnoteText"/>
      </w:pPr>
      <w:r>
        <w:rPr>
          <w:rStyle w:val="FootnoteReference"/>
        </w:rPr>
        <w:footnoteRef/>
      </w:r>
      <w:r>
        <w:t xml:space="preserve"> Mr Handforth identifies a distant view </w:t>
      </w:r>
      <w:r w:rsidR="00F27E4B">
        <w:t>looking from the edge of the CA over the top of St Matthews’ Gardens housing (which is not in the CA): Figure 9 Appendix 3, but this rather makes the point.</w:t>
      </w:r>
    </w:p>
  </w:footnote>
  <w:footnote w:id="39">
    <w:p w14:paraId="550ABE84" w14:textId="7C539CFE" w:rsidR="0008760C" w:rsidRDefault="0008760C">
      <w:pPr>
        <w:pStyle w:val="FootnoteText"/>
      </w:pPr>
      <w:r>
        <w:rPr>
          <w:rStyle w:val="FootnoteReference"/>
        </w:rPr>
        <w:footnoteRef/>
      </w:r>
      <w:r>
        <w:t xml:space="preserve"> See for (a) </w:t>
      </w:r>
      <w:r w:rsidR="0095001C">
        <w:t xml:space="preserve">his Table 5 beginning on page 27, for (b) his reasoning in Table </w:t>
      </w:r>
      <w:r w:rsidR="0080397B">
        <w:t xml:space="preserve">3 beginning on page 23, and for (c) his rebuttal of the idea of cumulative heritage impact in a case like this at his paragraph </w:t>
      </w:r>
      <w:r w:rsidR="00951CED">
        <w:t>5.23 page 27.</w:t>
      </w:r>
    </w:p>
  </w:footnote>
  <w:footnote w:id="40">
    <w:p w14:paraId="3A2394FB" w14:textId="1E5EE8B9" w:rsidR="00B907F5" w:rsidRDefault="00B907F5">
      <w:pPr>
        <w:pStyle w:val="FootnoteText"/>
      </w:pPr>
      <w:r>
        <w:rPr>
          <w:rStyle w:val="FootnoteReference"/>
        </w:rPr>
        <w:footnoteRef/>
      </w:r>
      <w:r>
        <w:t xml:space="preserve"> Paragraph 7.39, CD6.03.</w:t>
      </w:r>
    </w:p>
  </w:footnote>
  <w:footnote w:id="41">
    <w:p w14:paraId="188398F5" w14:textId="6949DC41" w:rsidR="00AB3EBA" w:rsidRDefault="00AB3EBA">
      <w:pPr>
        <w:pStyle w:val="FootnoteText"/>
      </w:pPr>
      <w:r>
        <w:rPr>
          <w:rStyle w:val="FootnoteReference"/>
        </w:rPr>
        <w:footnoteRef/>
      </w:r>
      <w:r>
        <w:t xml:space="preserve"> But even if were to be so treated, its loss would go into the overall balance and would not affect its overall outcome.</w:t>
      </w:r>
    </w:p>
  </w:footnote>
  <w:footnote w:id="42">
    <w:p w14:paraId="124D854C" w14:textId="132EAC35" w:rsidR="003B2973" w:rsidRDefault="003B2973">
      <w:pPr>
        <w:pStyle w:val="FootnoteText"/>
      </w:pPr>
      <w:r>
        <w:rPr>
          <w:rStyle w:val="FootnoteReference"/>
        </w:rPr>
        <w:footnoteRef/>
      </w:r>
      <w:r>
        <w:t xml:space="preserve"> Mr Lonergan, summary paragraph 16.1.38-40, page 73. The tabulated results are set out earlier in the proof next to those for the PP scheme.</w:t>
      </w:r>
    </w:p>
  </w:footnote>
  <w:footnote w:id="43">
    <w:p w14:paraId="00194978" w14:textId="7F13EAB6" w:rsidR="00773D96" w:rsidRDefault="00773D96">
      <w:pPr>
        <w:pStyle w:val="FootnoteText"/>
      </w:pPr>
      <w:r>
        <w:rPr>
          <w:rStyle w:val="FootnoteReference"/>
        </w:rPr>
        <w:footnoteRef/>
      </w:r>
      <w:r>
        <w:t xml:space="preserve"> Mr Martin’s expression, </w:t>
      </w:r>
      <w:r w:rsidR="00D92C5F">
        <w:t>in the summary and conclusions to his proof.</w:t>
      </w:r>
    </w:p>
  </w:footnote>
  <w:footnote w:id="44">
    <w:p w14:paraId="3CBAB9C1" w14:textId="63D3A95C" w:rsidR="00A805D1" w:rsidRDefault="00A805D1">
      <w:pPr>
        <w:pStyle w:val="FootnoteText"/>
      </w:pPr>
      <w:r>
        <w:rPr>
          <w:rStyle w:val="FootnoteReference"/>
        </w:rPr>
        <w:footnoteRef/>
      </w:r>
      <w:r>
        <w:t xml:space="preserve"> See the </w:t>
      </w:r>
      <w:r w:rsidR="001221BB">
        <w:t>next footnote.</w:t>
      </w:r>
    </w:p>
  </w:footnote>
  <w:footnote w:id="45">
    <w:p w14:paraId="4BFBCF45" w14:textId="1E09A129" w:rsidR="009A1715" w:rsidRDefault="009A1715">
      <w:pPr>
        <w:pStyle w:val="FootnoteText"/>
      </w:pPr>
      <w:r>
        <w:rPr>
          <w:rStyle w:val="FootnoteReference"/>
        </w:rPr>
        <w:footnoteRef/>
      </w:r>
      <w:r>
        <w:t xml:space="preserve"> See CD 11.02, page</w:t>
      </w:r>
      <w:r w:rsidR="00C618A8">
        <w:t xml:space="preserve"> 2, first bullet point: </w:t>
      </w:r>
      <w:r w:rsidR="00C618A8" w:rsidRPr="00C618A8">
        <w:rPr>
          <w:i/>
          <w:iCs/>
        </w:rPr>
        <w:t>“The illustrative scheme still results in harm to residential amenity that officers cannot support. There would be moderate and major reductions in daylight to properties within St Matthew’s Gardens and Silverwood Close, with many anticipated to experience very low retained levels. Even some minor reductions would lead to low retained levels of daylight to some properties that either experience a good or already constrained standard of amenity, neither of which is any less important to protect. Additionally, one property, No. 38 Silverwood Close, would experience a significant increase in overshadowing to their garden. The overall illustrative harm to residential amenity is unacceptable</w:t>
      </w:r>
      <w:r w:rsidR="00C618A8" w:rsidRPr="00C618A8">
        <w:t>.</w:t>
      </w:r>
      <w:r w:rsidR="00C618A8">
        <w:t>”</w:t>
      </w:r>
    </w:p>
  </w:footnote>
  <w:footnote w:id="46">
    <w:p w14:paraId="5B397F76" w14:textId="533BF518" w:rsidR="00011A4C" w:rsidRDefault="00011A4C">
      <w:pPr>
        <w:pStyle w:val="FootnoteText"/>
      </w:pPr>
      <w:r>
        <w:rPr>
          <w:rStyle w:val="FootnoteReference"/>
        </w:rPr>
        <w:footnoteRef/>
      </w:r>
      <w:r>
        <w:t xml:space="preserve"> See page 2 of CD11.01, which contains the course of correspondence at that time between the Applicant team and the officers.</w:t>
      </w:r>
      <w:r w:rsidR="00057A40">
        <w:t xml:space="preserve"> Of particular note is the email response by the Council on </w:t>
      </w:r>
      <w:r w:rsidR="005A0B33">
        <w:t xml:space="preserve">31 January 2025, CD11.02, which contains a list of reasons for rejecting the mooted condition, none of which are cogent reasons for rejecting it and which are all now </w:t>
      </w:r>
      <w:r w:rsidR="002A496C">
        <w:t>cast aside by the Council.</w:t>
      </w:r>
    </w:p>
  </w:footnote>
  <w:footnote w:id="47">
    <w:p w14:paraId="0B92E3A2" w14:textId="140FF09C" w:rsidR="00197B4E" w:rsidRDefault="00197B4E">
      <w:pPr>
        <w:pStyle w:val="FootnoteText"/>
      </w:pPr>
      <w:r>
        <w:rPr>
          <w:rStyle w:val="FootnoteReference"/>
        </w:rPr>
        <w:footnoteRef/>
      </w:r>
      <w:r>
        <w:t xml:space="preserve"> CD</w:t>
      </w:r>
      <w:r w:rsidR="005E04F9">
        <w:t>3.01 paragraph 30.34.</w:t>
      </w:r>
    </w:p>
  </w:footnote>
  <w:footnote w:id="48">
    <w:p w14:paraId="7996E7BA" w14:textId="6C8F1A64" w:rsidR="00B93D46" w:rsidRDefault="00B93D46">
      <w:pPr>
        <w:pStyle w:val="FootnoteText"/>
      </w:pPr>
      <w:r>
        <w:rPr>
          <w:rStyle w:val="FootnoteReference"/>
        </w:rPr>
        <w:footnoteRef/>
      </w:r>
      <w:r>
        <w:t xml:space="preserve"> NPPF paragraph 135(</w:t>
      </w:r>
      <w:r w:rsidR="003B34C8">
        <w:t>f) in particular</w:t>
      </w:r>
      <w:r w:rsidR="00A54861">
        <w:t>.</w:t>
      </w:r>
    </w:p>
  </w:footnote>
  <w:footnote w:id="49">
    <w:p w14:paraId="41A8D93A" w14:textId="2DF747CC" w:rsidR="00523F3E" w:rsidRDefault="00523F3E">
      <w:pPr>
        <w:pStyle w:val="FootnoteText"/>
      </w:pPr>
      <w:r>
        <w:rPr>
          <w:rStyle w:val="FootnoteReference"/>
        </w:rPr>
        <w:footnoteRef/>
      </w:r>
      <w:r>
        <w:t xml:space="preserve"> Mr Kaddish paragraph 7.19 page 47; he notes a degree of </w:t>
      </w:r>
      <w:r w:rsidR="00BE50CF">
        <w:t>inconsistency with the policy wording of Policy 60 of the adopted plan, but only because it refers to ‘no adverse impact’ (by contrast with the more NPPF-</w:t>
      </w:r>
      <w:r w:rsidR="00F36E6C">
        <w:t>reflective wording of the Appendix which fleshes out the policy).</w:t>
      </w:r>
    </w:p>
  </w:footnote>
  <w:footnote w:id="50">
    <w:p w14:paraId="19E16AE5" w14:textId="289983DF" w:rsidR="00E360AF" w:rsidRDefault="00E360AF">
      <w:pPr>
        <w:pStyle w:val="FootnoteText"/>
      </w:pPr>
      <w:r>
        <w:rPr>
          <w:rStyle w:val="FootnoteReference"/>
        </w:rPr>
        <w:footnoteRef/>
      </w:r>
      <w:r>
        <w:t xml:space="preserve"> See CD6.03 </w:t>
      </w:r>
      <w:r w:rsidR="00AA6DC5">
        <w:t>section on outstanding issues.</w:t>
      </w:r>
    </w:p>
  </w:footnote>
  <w:footnote w:id="51">
    <w:p w14:paraId="2C376B4C" w14:textId="5FC52FFB" w:rsidR="00F06E05" w:rsidRDefault="00F06E05">
      <w:pPr>
        <w:pStyle w:val="FootnoteText"/>
      </w:pPr>
      <w:r>
        <w:rPr>
          <w:rStyle w:val="FootnoteReference"/>
        </w:rPr>
        <w:footnoteRef/>
      </w:r>
      <w:r>
        <w:t xml:space="preserve"> Ibid paragraph 6.3.</w:t>
      </w:r>
    </w:p>
  </w:footnote>
  <w:footnote w:id="52">
    <w:p w14:paraId="5297EC46" w14:textId="7EEE7A3C" w:rsidR="00F6325A" w:rsidRDefault="00F6325A">
      <w:pPr>
        <w:pStyle w:val="FootnoteText"/>
      </w:pPr>
      <w:r>
        <w:rPr>
          <w:rStyle w:val="FootnoteReference"/>
        </w:rPr>
        <w:footnoteRef/>
      </w:r>
      <w:r>
        <w:t xml:space="preserve"> And subject again to the point about “no adverse impact” in Policy 60.</w:t>
      </w:r>
    </w:p>
  </w:footnote>
  <w:footnote w:id="53">
    <w:p w14:paraId="05C8D8F6" w14:textId="2F68DE33" w:rsidR="0074033B" w:rsidRDefault="0074033B">
      <w:pPr>
        <w:pStyle w:val="FootnoteText"/>
      </w:pPr>
      <w:r>
        <w:rPr>
          <w:rStyle w:val="FootnoteReference"/>
        </w:rPr>
        <w:footnoteRef/>
      </w:r>
      <w:r>
        <w:t xml:space="preserve"> See Mr Kaddish pages 23-</w:t>
      </w:r>
      <w:r w:rsidR="008E6262">
        <w:t>24 and cross-references to other inquiry documents therein.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8F5"/>
    <w:multiLevelType w:val="hybridMultilevel"/>
    <w:tmpl w:val="237A6CBE"/>
    <w:lvl w:ilvl="0" w:tplc="A99655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7133D7"/>
    <w:multiLevelType w:val="hybridMultilevel"/>
    <w:tmpl w:val="7EDADE82"/>
    <w:lvl w:ilvl="0" w:tplc="78943C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562FF9"/>
    <w:multiLevelType w:val="hybridMultilevel"/>
    <w:tmpl w:val="C37AD362"/>
    <w:lvl w:ilvl="0" w:tplc="AC9C54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F614B5"/>
    <w:multiLevelType w:val="hybridMultilevel"/>
    <w:tmpl w:val="3B267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EF13BF6"/>
    <w:multiLevelType w:val="hybridMultilevel"/>
    <w:tmpl w:val="64A0AF02"/>
    <w:lvl w:ilvl="0" w:tplc="94C61A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1BB3BC6"/>
    <w:multiLevelType w:val="hybridMultilevel"/>
    <w:tmpl w:val="AB72B6E0"/>
    <w:lvl w:ilvl="0" w:tplc="225C69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792637C"/>
    <w:multiLevelType w:val="hybridMultilevel"/>
    <w:tmpl w:val="000C1928"/>
    <w:lvl w:ilvl="0" w:tplc="404636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723BEC"/>
    <w:multiLevelType w:val="hybridMultilevel"/>
    <w:tmpl w:val="E9749F78"/>
    <w:lvl w:ilvl="0" w:tplc="06C05E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A862897"/>
    <w:multiLevelType w:val="hybridMultilevel"/>
    <w:tmpl w:val="6936B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04"/>
    <w:rsid w:val="00011A4C"/>
    <w:rsid w:val="00043E94"/>
    <w:rsid w:val="000456B9"/>
    <w:rsid w:val="000539D2"/>
    <w:rsid w:val="000543D0"/>
    <w:rsid w:val="00054FD0"/>
    <w:rsid w:val="00055319"/>
    <w:rsid w:val="00057A40"/>
    <w:rsid w:val="00057D42"/>
    <w:rsid w:val="00067645"/>
    <w:rsid w:val="00074B2B"/>
    <w:rsid w:val="00084F15"/>
    <w:rsid w:val="00085203"/>
    <w:rsid w:val="0008760C"/>
    <w:rsid w:val="0009356F"/>
    <w:rsid w:val="0009498E"/>
    <w:rsid w:val="000A3A13"/>
    <w:rsid w:val="000A4AB6"/>
    <w:rsid w:val="000B46CC"/>
    <w:rsid w:val="000B7D35"/>
    <w:rsid w:val="000C0DE2"/>
    <w:rsid w:val="000D3E80"/>
    <w:rsid w:val="000E581F"/>
    <w:rsid w:val="000F3EB5"/>
    <w:rsid w:val="000F611C"/>
    <w:rsid w:val="000F7F32"/>
    <w:rsid w:val="00110795"/>
    <w:rsid w:val="001221BB"/>
    <w:rsid w:val="0013137B"/>
    <w:rsid w:val="001336D2"/>
    <w:rsid w:val="00141996"/>
    <w:rsid w:val="0015159F"/>
    <w:rsid w:val="00152372"/>
    <w:rsid w:val="00153E8B"/>
    <w:rsid w:val="00157916"/>
    <w:rsid w:val="00161A6D"/>
    <w:rsid w:val="00166C10"/>
    <w:rsid w:val="001754E9"/>
    <w:rsid w:val="00176E59"/>
    <w:rsid w:val="001947EE"/>
    <w:rsid w:val="00194FE0"/>
    <w:rsid w:val="00197B4E"/>
    <w:rsid w:val="001C2D0E"/>
    <w:rsid w:val="001C4164"/>
    <w:rsid w:val="001C4FAB"/>
    <w:rsid w:val="001D3000"/>
    <w:rsid w:val="001E1F99"/>
    <w:rsid w:val="001E5EAE"/>
    <w:rsid w:val="001F0AA0"/>
    <w:rsid w:val="001F0D29"/>
    <w:rsid w:val="001F28D6"/>
    <w:rsid w:val="002122A6"/>
    <w:rsid w:val="002135E3"/>
    <w:rsid w:val="00217CAD"/>
    <w:rsid w:val="00222C01"/>
    <w:rsid w:val="00227A8F"/>
    <w:rsid w:val="00235747"/>
    <w:rsid w:val="002405BE"/>
    <w:rsid w:val="00246BE4"/>
    <w:rsid w:val="0025398F"/>
    <w:rsid w:val="00253BC8"/>
    <w:rsid w:val="00255CC3"/>
    <w:rsid w:val="00261864"/>
    <w:rsid w:val="002642B5"/>
    <w:rsid w:val="002706D0"/>
    <w:rsid w:val="0027395E"/>
    <w:rsid w:val="00275CCA"/>
    <w:rsid w:val="0027741A"/>
    <w:rsid w:val="0028193D"/>
    <w:rsid w:val="00284B45"/>
    <w:rsid w:val="00286C1A"/>
    <w:rsid w:val="002936C8"/>
    <w:rsid w:val="002968A0"/>
    <w:rsid w:val="002A496C"/>
    <w:rsid w:val="002A54F2"/>
    <w:rsid w:val="002A604A"/>
    <w:rsid w:val="002B6577"/>
    <w:rsid w:val="002B7A50"/>
    <w:rsid w:val="002C27AC"/>
    <w:rsid w:val="002D2050"/>
    <w:rsid w:val="002D4774"/>
    <w:rsid w:val="002D75C5"/>
    <w:rsid w:val="002E1ED2"/>
    <w:rsid w:val="002E756E"/>
    <w:rsid w:val="002F7BB5"/>
    <w:rsid w:val="003003AF"/>
    <w:rsid w:val="003010AA"/>
    <w:rsid w:val="00302D42"/>
    <w:rsid w:val="00304AB7"/>
    <w:rsid w:val="00305E2E"/>
    <w:rsid w:val="00310F52"/>
    <w:rsid w:val="00311B30"/>
    <w:rsid w:val="0031700D"/>
    <w:rsid w:val="0033096F"/>
    <w:rsid w:val="003319EB"/>
    <w:rsid w:val="00331A03"/>
    <w:rsid w:val="0033642C"/>
    <w:rsid w:val="003367BB"/>
    <w:rsid w:val="00354641"/>
    <w:rsid w:val="00355702"/>
    <w:rsid w:val="00365B1C"/>
    <w:rsid w:val="00370D7A"/>
    <w:rsid w:val="00373637"/>
    <w:rsid w:val="00383964"/>
    <w:rsid w:val="00385FF0"/>
    <w:rsid w:val="003875BD"/>
    <w:rsid w:val="0039247A"/>
    <w:rsid w:val="0039708E"/>
    <w:rsid w:val="003A43BE"/>
    <w:rsid w:val="003B2973"/>
    <w:rsid w:val="003B34C8"/>
    <w:rsid w:val="003B3FBC"/>
    <w:rsid w:val="003C2157"/>
    <w:rsid w:val="003D3A79"/>
    <w:rsid w:val="003D5BF3"/>
    <w:rsid w:val="003E4BD9"/>
    <w:rsid w:val="003E4BF9"/>
    <w:rsid w:val="003F10C7"/>
    <w:rsid w:val="003F1F57"/>
    <w:rsid w:val="003F3217"/>
    <w:rsid w:val="003F5E90"/>
    <w:rsid w:val="004041B7"/>
    <w:rsid w:val="0040498A"/>
    <w:rsid w:val="004056F7"/>
    <w:rsid w:val="00411979"/>
    <w:rsid w:val="0041445B"/>
    <w:rsid w:val="00416014"/>
    <w:rsid w:val="00441B0A"/>
    <w:rsid w:val="004421E0"/>
    <w:rsid w:val="00453553"/>
    <w:rsid w:val="00456027"/>
    <w:rsid w:val="00456CEF"/>
    <w:rsid w:val="00457546"/>
    <w:rsid w:val="00461428"/>
    <w:rsid w:val="00470280"/>
    <w:rsid w:val="00473404"/>
    <w:rsid w:val="00487530"/>
    <w:rsid w:val="00487735"/>
    <w:rsid w:val="00493637"/>
    <w:rsid w:val="00493D4B"/>
    <w:rsid w:val="004949BC"/>
    <w:rsid w:val="0049689B"/>
    <w:rsid w:val="004A2757"/>
    <w:rsid w:val="004A4246"/>
    <w:rsid w:val="004A55E4"/>
    <w:rsid w:val="004B0FCF"/>
    <w:rsid w:val="004B2302"/>
    <w:rsid w:val="004B7EFD"/>
    <w:rsid w:val="004D30FF"/>
    <w:rsid w:val="004F5255"/>
    <w:rsid w:val="004F52C0"/>
    <w:rsid w:val="004F5930"/>
    <w:rsid w:val="00517E0A"/>
    <w:rsid w:val="00517ECE"/>
    <w:rsid w:val="00523F3E"/>
    <w:rsid w:val="005323C4"/>
    <w:rsid w:val="005373A9"/>
    <w:rsid w:val="00543011"/>
    <w:rsid w:val="0057229D"/>
    <w:rsid w:val="00583D70"/>
    <w:rsid w:val="0058429D"/>
    <w:rsid w:val="005901F6"/>
    <w:rsid w:val="005A0B33"/>
    <w:rsid w:val="005A1C82"/>
    <w:rsid w:val="005B2D4B"/>
    <w:rsid w:val="005B4717"/>
    <w:rsid w:val="005B6A0A"/>
    <w:rsid w:val="005B7195"/>
    <w:rsid w:val="005C32FD"/>
    <w:rsid w:val="005C785F"/>
    <w:rsid w:val="005D4D7E"/>
    <w:rsid w:val="005E04F9"/>
    <w:rsid w:val="005F16CB"/>
    <w:rsid w:val="005F7047"/>
    <w:rsid w:val="0060649F"/>
    <w:rsid w:val="006068D0"/>
    <w:rsid w:val="00611C7C"/>
    <w:rsid w:val="00612288"/>
    <w:rsid w:val="00612688"/>
    <w:rsid w:val="00615D81"/>
    <w:rsid w:val="006233E3"/>
    <w:rsid w:val="00630F61"/>
    <w:rsid w:val="00632EAF"/>
    <w:rsid w:val="00641AFD"/>
    <w:rsid w:val="0065420A"/>
    <w:rsid w:val="00664E4E"/>
    <w:rsid w:val="00665B31"/>
    <w:rsid w:val="00666A07"/>
    <w:rsid w:val="0069088E"/>
    <w:rsid w:val="00693F7E"/>
    <w:rsid w:val="006A0A39"/>
    <w:rsid w:val="006A2D1F"/>
    <w:rsid w:val="006A6EB4"/>
    <w:rsid w:val="006B611D"/>
    <w:rsid w:val="006C5173"/>
    <w:rsid w:val="006D0BED"/>
    <w:rsid w:val="006D33EA"/>
    <w:rsid w:val="006E4F5C"/>
    <w:rsid w:val="006E67E8"/>
    <w:rsid w:val="006F0267"/>
    <w:rsid w:val="006F5361"/>
    <w:rsid w:val="00700165"/>
    <w:rsid w:val="0070555D"/>
    <w:rsid w:val="007104B6"/>
    <w:rsid w:val="00716351"/>
    <w:rsid w:val="007244CF"/>
    <w:rsid w:val="00736492"/>
    <w:rsid w:val="00737E24"/>
    <w:rsid w:val="0074033B"/>
    <w:rsid w:val="00746931"/>
    <w:rsid w:val="00746BD1"/>
    <w:rsid w:val="007642AD"/>
    <w:rsid w:val="00773D96"/>
    <w:rsid w:val="007749FF"/>
    <w:rsid w:val="00781A90"/>
    <w:rsid w:val="007855C4"/>
    <w:rsid w:val="00786491"/>
    <w:rsid w:val="007940E6"/>
    <w:rsid w:val="007A145C"/>
    <w:rsid w:val="007A17A7"/>
    <w:rsid w:val="007A68B4"/>
    <w:rsid w:val="007B098E"/>
    <w:rsid w:val="007C2159"/>
    <w:rsid w:val="007E2303"/>
    <w:rsid w:val="007F3903"/>
    <w:rsid w:val="007F7ED9"/>
    <w:rsid w:val="0080397B"/>
    <w:rsid w:val="008126A9"/>
    <w:rsid w:val="00816503"/>
    <w:rsid w:val="00820041"/>
    <w:rsid w:val="00827BAD"/>
    <w:rsid w:val="00831FC6"/>
    <w:rsid w:val="00834DD6"/>
    <w:rsid w:val="00841659"/>
    <w:rsid w:val="00850B8B"/>
    <w:rsid w:val="008523B8"/>
    <w:rsid w:val="00852631"/>
    <w:rsid w:val="00856796"/>
    <w:rsid w:val="00870E09"/>
    <w:rsid w:val="00871087"/>
    <w:rsid w:val="00881EEE"/>
    <w:rsid w:val="0088579B"/>
    <w:rsid w:val="00885F17"/>
    <w:rsid w:val="00892A64"/>
    <w:rsid w:val="0089641D"/>
    <w:rsid w:val="008A2B62"/>
    <w:rsid w:val="008A7079"/>
    <w:rsid w:val="008B26B3"/>
    <w:rsid w:val="008C4E28"/>
    <w:rsid w:val="008D02EF"/>
    <w:rsid w:val="008D0A4E"/>
    <w:rsid w:val="008E6262"/>
    <w:rsid w:val="008F1E6C"/>
    <w:rsid w:val="008F5680"/>
    <w:rsid w:val="008F5CE3"/>
    <w:rsid w:val="008F7877"/>
    <w:rsid w:val="00901352"/>
    <w:rsid w:val="00901F41"/>
    <w:rsid w:val="00916DE3"/>
    <w:rsid w:val="00917600"/>
    <w:rsid w:val="0092030D"/>
    <w:rsid w:val="009228A1"/>
    <w:rsid w:val="00923BAF"/>
    <w:rsid w:val="00925794"/>
    <w:rsid w:val="009332F9"/>
    <w:rsid w:val="00942339"/>
    <w:rsid w:val="0095001C"/>
    <w:rsid w:val="00951CED"/>
    <w:rsid w:val="0096157E"/>
    <w:rsid w:val="009631BE"/>
    <w:rsid w:val="00963995"/>
    <w:rsid w:val="00970C18"/>
    <w:rsid w:val="0097142C"/>
    <w:rsid w:val="00973A8C"/>
    <w:rsid w:val="009A1715"/>
    <w:rsid w:val="009B1385"/>
    <w:rsid w:val="009C1D24"/>
    <w:rsid w:val="009C4820"/>
    <w:rsid w:val="009E18F6"/>
    <w:rsid w:val="009E4F9A"/>
    <w:rsid w:val="009E5D17"/>
    <w:rsid w:val="00A01BC8"/>
    <w:rsid w:val="00A02AAD"/>
    <w:rsid w:val="00A04B0A"/>
    <w:rsid w:val="00A14D04"/>
    <w:rsid w:val="00A207D9"/>
    <w:rsid w:val="00A26350"/>
    <w:rsid w:val="00A31776"/>
    <w:rsid w:val="00A42D7A"/>
    <w:rsid w:val="00A436B2"/>
    <w:rsid w:val="00A47E4D"/>
    <w:rsid w:val="00A50849"/>
    <w:rsid w:val="00A5122D"/>
    <w:rsid w:val="00A54861"/>
    <w:rsid w:val="00A62B4B"/>
    <w:rsid w:val="00A805D1"/>
    <w:rsid w:val="00A84DF1"/>
    <w:rsid w:val="00A855FF"/>
    <w:rsid w:val="00A95B6C"/>
    <w:rsid w:val="00AA6DC5"/>
    <w:rsid w:val="00AB3EBA"/>
    <w:rsid w:val="00AC23C9"/>
    <w:rsid w:val="00AD1D64"/>
    <w:rsid w:val="00AD2B5D"/>
    <w:rsid w:val="00AE0B88"/>
    <w:rsid w:val="00AE1A26"/>
    <w:rsid w:val="00AE32A7"/>
    <w:rsid w:val="00AE4363"/>
    <w:rsid w:val="00AE7F44"/>
    <w:rsid w:val="00AF09DA"/>
    <w:rsid w:val="00B041E7"/>
    <w:rsid w:val="00B238A8"/>
    <w:rsid w:val="00B309E2"/>
    <w:rsid w:val="00B33F72"/>
    <w:rsid w:val="00B36178"/>
    <w:rsid w:val="00B375CD"/>
    <w:rsid w:val="00B37A1B"/>
    <w:rsid w:val="00B40C69"/>
    <w:rsid w:val="00B41A62"/>
    <w:rsid w:val="00B43A5F"/>
    <w:rsid w:val="00B55714"/>
    <w:rsid w:val="00B57EB3"/>
    <w:rsid w:val="00B66661"/>
    <w:rsid w:val="00B707AB"/>
    <w:rsid w:val="00B7087A"/>
    <w:rsid w:val="00B750C5"/>
    <w:rsid w:val="00B907F5"/>
    <w:rsid w:val="00B93CF4"/>
    <w:rsid w:val="00B93D46"/>
    <w:rsid w:val="00BA0F73"/>
    <w:rsid w:val="00BA116E"/>
    <w:rsid w:val="00BA4CA0"/>
    <w:rsid w:val="00BC4EFF"/>
    <w:rsid w:val="00BE50CF"/>
    <w:rsid w:val="00BE5EDA"/>
    <w:rsid w:val="00BE617D"/>
    <w:rsid w:val="00BF481D"/>
    <w:rsid w:val="00BF5BB4"/>
    <w:rsid w:val="00BF634F"/>
    <w:rsid w:val="00C00F0C"/>
    <w:rsid w:val="00C03B78"/>
    <w:rsid w:val="00C04849"/>
    <w:rsid w:val="00C05A0F"/>
    <w:rsid w:val="00C16812"/>
    <w:rsid w:val="00C17AF2"/>
    <w:rsid w:val="00C17CF5"/>
    <w:rsid w:val="00C24E3D"/>
    <w:rsid w:val="00C30DD0"/>
    <w:rsid w:val="00C35D79"/>
    <w:rsid w:val="00C424B6"/>
    <w:rsid w:val="00C43298"/>
    <w:rsid w:val="00C45DFE"/>
    <w:rsid w:val="00C51835"/>
    <w:rsid w:val="00C577DA"/>
    <w:rsid w:val="00C57CC7"/>
    <w:rsid w:val="00C618A8"/>
    <w:rsid w:val="00C63126"/>
    <w:rsid w:val="00C64856"/>
    <w:rsid w:val="00C64F0A"/>
    <w:rsid w:val="00C76F23"/>
    <w:rsid w:val="00C770D9"/>
    <w:rsid w:val="00C97059"/>
    <w:rsid w:val="00CA3E3E"/>
    <w:rsid w:val="00CA4C6B"/>
    <w:rsid w:val="00CA51FA"/>
    <w:rsid w:val="00CB70A6"/>
    <w:rsid w:val="00CC6313"/>
    <w:rsid w:val="00CD047B"/>
    <w:rsid w:val="00CD41FE"/>
    <w:rsid w:val="00CE093B"/>
    <w:rsid w:val="00CE2E94"/>
    <w:rsid w:val="00CF2042"/>
    <w:rsid w:val="00CF217D"/>
    <w:rsid w:val="00CF21DC"/>
    <w:rsid w:val="00CF3842"/>
    <w:rsid w:val="00CF540F"/>
    <w:rsid w:val="00D0519B"/>
    <w:rsid w:val="00D24771"/>
    <w:rsid w:val="00D27016"/>
    <w:rsid w:val="00D30A5B"/>
    <w:rsid w:val="00D31026"/>
    <w:rsid w:val="00D338EB"/>
    <w:rsid w:val="00D409D9"/>
    <w:rsid w:val="00D50670"/>
    <w:rsid w:val="00D616BD"/>
    <w:rsid w:val="00D62E44"/>
    <w:rsid w:val="00D65DD1"/>
    <w:rsid w:val="00D66B31"/>
    <w:rsid w:val="00D67035"/>
    <w:rsid w:val="00D67731"/>
    <w:rsid w:val="00D76DCD"/>
    <w:rsid w:val="00D87FDA"/>
    <w:rsid w:val="00D92C5F"/>
    <w:rsid w:val="00DA3E1F"/>
    <w:rsid w:val="00DA69E6"/>
    <w:rsid w:val="00DB11E7"/>
    <w:rsid w:val="00DB2410"/>
    <w:rsid w:val="00DC0512"/>
    <w:rsid w:val="00DC1647"/>
    <w:rsid w:val="00DC1A1D"/>
    <w:rsid w:val="00DC3EA9"/>
    <w:rsid w:val="00DD4A35"/>
    <w:rsid w:val="00DE64D3"/>
    <w:rsid w:val="00E13655"/>
    <w:rsid w:val="00E14467"/>
    <w:rsid w:val="00E240FD"/>
    <w:rsid w:val="00E27AE4"/>
    <w:rsid w:val="00E27B31"/>
    <w:rsid w:val="00E360AF"/>
    <w:rsid w:val="00E46A5C"/>
    <w:rsid w:val="00E46BB9"/>
    <w:rsid w:val="00E509DF"/>
    <w:rsid w:val="00E53E1D"/>
    <w:rsid w:val="00E5607B"/>
    <w:rsid w:val="00E56EC3"/>
    <w:rsid w:val="00E660C7"/>
    <w:rsid w:val="00E81988"/>
    <w:rsid w:val="00E8240E"/>
    <w:rsid w:val="00E91DDC"/>
    <w:rsid w:val="00EA327F"/>
    <w:rsid w:val="00EA55BE"/>
    <w:rsid w:val="00EA574B"/>
    <w:rsid w:val="00EC59BF"/>
    <w:rsid w:val="00EC67E1"/>
    <w:rsid w:val="00EC7EE0"/>
    <w:rsid w:val="00ED027D"/>
    <w:rsid w:val="00EE6F13"/>
    <w:rsid w:val="00EF42B3"/>
    <w:rsid w:val="00F00C3E"/>
    <w:rsid w:val="00F060CA"/>
    <w:rsid w:val="00F06E05"/>
    <w:rsid w:val="00F11D0E"/>
    <w:rsid w:val="00F1757E"/>
    <w:rsid w:val="00F2192D"/>
    <w:rsid w:val="00F2466F"/>
    <w:rsid w:val="00F27E4B"/>
    <w:rsid w:val="00F304E6"/>
    <w:rsid w:val="00F31B96"/>
    <w:rsid w:val="00F35602"/>
    <w:rsid w:val="00F36E6C"/>
    <w:rsid w:val="00F43D06"/>
    <w:rsid w:val="00F54D6E"/>
    <w:rsid w:val="00F56304"/>
    <w:rsid w:val="00F6325A"/>
    <w:rsid w:val="00F64DEE"/>
    <w:rsid w:val="00F7010B"/>
    <w:rsid w:val="00F72045"/>
    <w:rsid w:val="00F72956"/>
    <w:rsid w:val="00F76C7A"/>
    <w:rsid w:val="00F80DD2"/>
    <w:rsid w:val="00F826EB"/>
    <w:rsid w:val="00F91C1E"/>
    <w:rsid w:val="00FB3CAE"/>
    <w:rsid w:val="00FB4176"/>
    <w:rsid w:val="00FB4453"/>
    <w:rsid w:val="00FB454C"/>
    <w:rsid w:val="00FC0045"/>
    <w:rsid w:val="00FC54EB"/>
    <w:rsid w:val="00FD0EFE"/>
    <w:rsid w:val="00FD2960"/>
    <w:rsid w:val="00FD540C"/>
    <w:rsid w:val="00FD6ED4"/>
    <w:rsid w:val="00FE1AD1"/>
    <w:rsid w:val="00FE3429"/>
    <w:rsid w:val="00FE35AB"/>
    <w:rsid w:val="00FE5B77"/>
    <w:rsid w:val="00FF0240"/>
    <w:rsid w:val="00FF34C0"/>
    <w:rsid w:val="00FF6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5AE4"/>
  <w15:chartTrackingRefBased/>
  <w15:docId w15:val="{CA0E8844-1BA0-4FCC-889F-0E9BF60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404"/>
  </w:style>
  <w:style w:type="paragraph" w:styleId="Heading1">
    <w:name w:val="heading 1"/>
    <w:basedOn w:val="Normal"/>
    <w:next w:val="Normal"/>
    <w:link w:val="Heading1Char"/>
    <w:uiPriority w:val="9"/>
    <w:qFormat/>
    <w:rsid w:val="00473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4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4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34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34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34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4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4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4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4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34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34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34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4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4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4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4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404"/>
    <w:pPr>
      <w:spacing w:before="160"/>
      <w:jc w:val="center"/>
    </w:pPr>
    <w:rPr>
      <w:i/>
      <w:iCs/>
      <w:color w:val="404040" w:themeColor="text1" w:themeTint="BF"/>
    </w:rPr>
  </w:style>
  <w:style w:type="character" w:customStyle="1" w:styleId="QuoteChar">
    <w:name w:val="Quote Char"/>
    <w:basedOn w:val="DefaultParagraphFont"/>
    <w:link w:val="Quote"/>
    <w:uiPriority w:val="29"/>
    <w:rsid w:val="00473404"/>
    <w:rPr>
      <w:i/>
      <w:iCs/>
      <w:color w:val="404040" w:themeColor="text1" w:themeTint="BF"/>
    </w:rPr>
  </w:style>
  <w:style w:type="paragraph" w:styleId="ListParagraph">
    <w:name w:val="List Paragraph"/>
    <w:basedOn w:val="Normal"/>
    <w:uiPriority w:val="34"/>
    <w:qFormat/>
    <w:rsid w:val="00473404"/>
    <w:pPr>
      <w:ind w:left="720"/>
      <w:contextualSpacing/>
    </w:pPr>
  </w:style>
  <w:style w:type="character" w:styleId="IntenseEmphasis">
    <w:name w:val="Intense Emphasis"/>
    <w:basedOn w:val="DefaultParagraphFont"/>
    <w:uiPriority w:val="21"/>
    <w:qFormat/>
    <w:rsid w:val="00473404"/>
    <w:rPr>
      <w:i/>
      <w:iCs/>
      <w:color w:val="0F4761" w:themeColor="accent1" w:themeShade="BF"/>
    </w:rPr>
  </w:style>
  <w:style w:type="paragraph" w:styleId="IntenseQuote">
    <w:name w:val="Intense Quote"/>
    <w:basedOn w:val="Normal"/>
    <w:next w:val="Normal"/>
    <w:link w:val="IntenseQuoteChar"/>
    <w:uiPriority w:val="30"/>
    <w:qFormat/>
    <w:rsid w:val="00473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404"/>
    <w:rPr>
      <w:i/>
      <w:iCs/>
      <w:color w:val="0F4761" w:themeColor="accent1" w:themeShade="BF"/>
    </w:rPr>
  </w:style>
  <w:style w:type="character" w:styleId="IntenseReference">
    <w:name w:val="Intense Reference"/>
    <w:basedOn w:val="DefaultParagraphFont"/>
    <w:uiPriority w:val="32"/>
    <w:qFormat/>
    <w:rsid w:val="00473404"/>
    <w:rPr>
      <w:b/>
      <w:bCs w:val="0"/>
      <w:smallCaps/>
      <w:color w:val="0F4761" w:themeColor="accent1" w:themeShade="BF"/>
      <w:spacing w:val="5"/>
    </w:rPr>
  </w:style>
  <w:style w:type="paragraph" w:styleId="Header">
    <w:name w:val="header"/>
    <w:basedOn w:val="Normal"/>
    <w:link w:val="HeaderChar"/>
    <w:uiPriority w:val="99"/>
    <w:unhideWhenUsed/>
    <w:rsid w:val="005A1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C82"/>
  </w:style>
  <w:style w:type="paragraph" w:styleId="Footer">
    <w:name w:val="footer"/>
    <w:basedOn w:val="Normal"/>
    <w:link w:val="FooterChar"/>
    <w:uiPriority w:val="99"/>
    <w:unhideWhenUsed/>
    <w:rsid w:val="005A1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C82"/>
  </w:style>
  <w:style w:type="paragraph" w:styleId="FootnoteText">
    <w:name w:val="footnote text"/>
    <w:basedOn w:val="Normal"/>
    <w:link w:val="FootnoteTextChar"/>
    <w:uiPriority w:val="99"/>
    <w:semiHidden/>
    <w:unhideWhenUsed/>
    <w:rsid w:val="002D7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5C5"/>
    <w:rPr>
      <w:sz w:val="20"/>
      <w:szCs w:val="20"/>
    </w:rPr>
  </w:style>
  <w:style w:type="character" w:styleId="FootnoteReference">
    <w:name w:val="footnote reference"/>
    <w:basedOn w:val="DefaultParagraphFont"/>
    <w:uiPriority w:val="99"/>
    <w:semiHidden/>
    <w:unhideWhenUsed/>
    <w:rsid w:val="002D7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5</Pages>
  <Words>10061</Words>
  <Characters>51415</Characters>
  <DocSecurity>0</DocSecurity>
  <Lines>1028</Lines>
  <Paragraphs>229</Paragraphs>
  <ScaleCrop>false</ScaleCrop>
  <Company/>
  <LinksUpToDate>false</LinksUpToDate>
  <CharactersWithSpaces>61247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